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sz w:val="22"/>
          <w:szCs w:val="22"/>
        </w:rPr>
      </w:pPr>
      <w:r>
        <w:rPr>
          <w:sz w:val="22"/>
          <w:szCs w:val="22"/>
        </w:rPr>
        <w:drawing>
          <wp:anchor behindDoc="0" distT="0" distB="0" distL="0" distR="0" simplePos="0" locked="0" layoutInCell="0" allowOverlap="1" relativeHeight="2">
            <wp:simplePos x="0" y="0"/>
            <wp:positionH relativeFrom="column">
              <wp:posOffset>29845</wp:posOffset>
            </wp:positionH>
            <wp:positionV relativeFrom="paragraph">
              <wp:posOffset>22225</wp:posOffset>
            </wp:positionV>
            <wp:extent cx="1163320" cy="107823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rcRect l="-2" t="-2" r="-2" b="-2"/>
                    <a:stretch>
                      <a:fillRect/>
                    </a:stretch>
                  </pic:blipFill>
                  <pic:spPr bwMode="auto">
                    <a:xfrm>
                      <a:off x="0" y="0"/>
                      <a:ext cx="1163320" cy="1078230"/>
                    </a:xfrm>
                    <a:prstGeom prst="rect">
                      <a:avLst/>
                    </a:prstGeom>
                    <a:noFill/>
                  </pic:spPr>
                </pic:pic>
              </a:graphicData>
            </a:graphic>
          </wp:anchor>
        </w:drawing>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snapToGrid w:val="false"/>
        <w:spacing w:before="0" w:after="0"/>
        <w:ind w:hanging="0" w:left="0" w:right="0"/>
        <w:jc w:val="center"/>
        <w:rPr>
          <w:rFonts w:ascii="Marianne" w:hAnsi="Marianne" w:cs="Marianne"/>
          <w:b/>
          <w:bCs/>
          <w:caps/>
          <w:color w:val="auto"/>
          <w:sz w:val="22"/>
          <w:szCs w:val="22"/>
        </w:rPr>
      </w:pPr>
      <w:r>
        <w:rPr>
          <w:rFonts w:cs="Marianne" w:ascii="Marianne" w:hAnsi="Marianne"/>
          <w:b/>
          <w:bCs/>
          <w:caps/>
          <w:color w:val="auto"/>
          <w:sz w:val="22"/>
          <w:szCs w:val="22"/>
        </w:rPr>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rFonts w:ascii="Marianne" w:hAnsi="Marianne" w:cs="Marianne"/>
          <w:b/>
          <w:bCs/>
          <w:caps/>
          <w:color w:val="auto"/>
          <w:sz w:val="22"/>
          <w:szCs w:val="22"/>
        </w:rPr>
      </w:pPr>
      <w:r>
        <w:rPr>
          <w:rFonts w:cs="Marianne" w:ascii="Marianne" w:hAnsi="Marianne"/>
          <w:b/>
          <w:bCs/>
          <w:caps/>
          <w:color w:val="auto"/>
          <w:sz w:val="22"/>
          <w:szCs w:val="22"/>
        </w:rPr>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highlight w:val="none"/>
          <w:shd w:fill="auto" w:val="clear"/>
        </w:rPr>
      </w:pPr>
      <w:r>
        <w:rPr>
          <w:rFonts w:ascii="Marianne" w:hAnsi="Marianne"/>
          <w:b/>
          <w:bCs/>
          <w:sz w:val="20"/>
          <w:szCs w:val="20"/>
        </w:rPr>
        <w:t>Travaux pour la sécurisation de l’enceinte de la sous-préfecture de Saint-Benoît</w:t>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pageBreakBefore w:val="false"/>
        <w:snapToGrid w:val="false"/>
        <w:spacing w:before="0" w:after="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u w:val="none"/>
        </w:rPr>
        <w:t>Annexe 1.</w:t>
      </w:r>
      <w:r>
        <w:rPr>
          <w:b/>
          <w:bCs/>
          <w:sz w:val="22"/>
          <w:szCs w:val="22"/>
          <w:u w:val="none"/>
        </w:rPr>
        <w:t>1</w:t>
      </w:r>
      <w:r>
        <w:rPr>
          <w:b/>
          <w:bCs/>
          <w:sz w:val="22"/>
          <w:szCs w:val="22"/>
          <w:u w:val="none"/>
        </w:rPr>
        <w:t xml:space="preserve"> au règlement de la consultation</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Cadre de réponse du mémoire technique</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Offre technique du candidat</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Critères qualifiants techniques</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sz w:val="22"/>
          <w:szCs w:val="22"/>
        </w:rPr>
        <w:t xml:space="preserve">Cette annexe comporte </w:t>
      </w:r>
      <w:r>
        <w:rPr>
          <w:sz w:val="22"/>
          <w:szCs w:val="22"/>
        </w:rPr>
        <w:fldChar w:fldCharType="begin"/>
      </w:r>
      <w:r>
        <w:rPr>
          <w:sz w:val="22"/>
          <w:szCs w:val="22"/>
        </w:rPr>
        <w:instrText xml:space="preserve"> NUMPAGES </w:instrText>
      </w:r>
      <w:r>
        <w:rPr>
          <w:sz w:val="22"/>
          <w:szCs w:val="22"/>
        </w:rPr>
        <w:fldChar w:fldCharType="separate"/>
      </w:r>
      <w:r>
        <w:rPr>
          <w:sz w:val="22"/>
          <w:szCs w:val="22"/>
        </w:rPr>
        <w:t>6</w:t>
      </w:r>
      <w:r>
        <w:rPr>
          <w:sz w:val="22"/>
          <w:szCs w:val="22"/>
        </w:rPr>
        <w:fldChar w:fldCharType="end"/>
      </w:r>
      <w:r>
        <w:rPr>
          <w:sz w:val="22"/>
          <w:szCs w:val="22"/>
        </w:rPr>
        <w:t xml:space="preserve"> pages</w:t>
      </w:r>
    </w:p>
    <w:p>
      <w:pPr>
        <w:pStyle w:val="Normal"/>
        <w:snapToGrid w:val="false"/>
        <w:spacing w:before="0" w:after="0"/>
        <w:jc w:val="center"/>
        <w:rPr>
          <w:sz w:val="22"/>
          <w:szCs w:val="22"/>
        </w:rPr>
      </w:pPr>
      <w:r>
        <w:rPr>
          <w:sz w:val="22"/>
          <w:szCs w:val="22"/>
        </w:rPr>
      </w:r>
    </w:p>
    <w:p>
      <w:pPr>
        <w:pStyle w:val="Normal"/>
        <w:snapToGrid w:val="false"/>
        <w:spacing w:before="0" w:after="0"/>
        <w:jc w:val="both"/>
        <w:rPr>
          <w:b w:val="false"/>
          <w:i w:val="false"/>
          <w:color w:val="000000"/>
          <w:sz w:val="22"/>
          <w:szCs w:val="22"/>
        </w:rPr>
      </w:pPr>
      <w:r>
        <w:rPr>
          <w:b w:val="false"/>
          <w:i w:val="false"/>
          <w:color w:val="000000"/>
          <w:sz w:val="22"/>
          <w:szCs w:val="22"/>
        </w:rPr>
      </w:r>
      <w:r>
        <w:br w:type="page"/>
      </w:r>
    </w:p>
    <w:p>
      <w:pPr>
        <w:pStyle w:val="Normal"/>
        <w:snapToGrid w:val="false"/>
        <w:spacing w:before="0" w:after="0"/>
        <w:jc w:val="both"/>
        <w:rPr>
          <w:b w:val="false"/>
          <w:i w:val="false"/>
          <w:color w:val="000000"/>
          <w:sz w:val="22"/>
          <w:szCs w:val="22"/>
        </w:rPr>
      </w:pPr>
      <w:r>
        <w:rPr>
          <w:b w:val="false"/>
          <w:i w:val="false"/>
          <w:color w:val="000000"/>
          <w:sz w:val="22"/>
          <w:szCs w:val="22"/>
        </w:rPr>
        <w:t>Conformément au règlement de consultation, le présent mémoire constitue la justification de l’offre au regard du critère suivant :</w:t>
      </w:r>
    </w:p>
    <w:p>
      <w:pPr>
        <w:pStyle w:val="Normal"/>
        <w:snapToGrid w:val="false"/>
        <w:spacing w:before="0" w:after="0"/>
        <w:jc w:val="both"/>
        <w:rPr>
          <w:b w:val="false"/>
          <w:i w:val="false"/>
          <w:color w:val="000000"/>
          <w:sz w:val="22"/>
          <w:szCs w:val="22"/>
        </w:rPr>
      </w:pPr>
      <w:r>
        <w:rPr>
          <w:b w:val="false"/>
          <w:i w:val="false"/>
          <w:color w:val="000000"/>
          <w:sz w:val="22"/>
          <w:szCs w:val="22"/>
        </w:rPr>
      </w:r>
    </w:p>
    <w:p>
      <w:pPr>
        <w:pStyle w:val="Normal"/>
        <w:snapToGrid w:val="false"/>
        <w:spacing w:before="0" w:after="0"/>
        <w:ind w:hanging="0" w:left="0" w:right="57"/>
        <w:jc w:val="both"/>
        <w:rPr>
          <w:highlight w:val="none"/>
          <w:shd w:fill="auto" w:val="clear"/>
        </w:rPr>
      </w:pPr>
      <w:r>
        <w:rPr>
          <w:b/>
          <w:bCs/>
          <w:i w:val="false"/>
          <w:color w:val="000000"/>
          <w:sz w:val="22"/>
          <w:szCs w:val="22"/>
          <w:shd w:fill="auto" w:val="clear"/>
        </w:rPr>
        <w:t>VALEUR TECHNIQUE (pondérée à 40 %)</w:t>
      </w:r>
    </w:p>
    <w:p>
      <w:pPr>
        <w:pStyle w:val="Parareponse"/>
        <w:keepNext w:val="false"/>
        <w:snapToGrid w:val="false"/>
        <w:spacing w:before="0" w:after="0"/>
        <w:ind w:hanging="0" w:left="0" w:right="0"/>
        <w:jc w:val="both"/>
        <w:rPr>
          <w:b w:val="false"/>
          <w:bCs w:val="false"/>
          <w:i w:val="false"/>
          <w:color w:val="000000"/>
          <w:sz w:val="22"/>
          <w:szCs w:val="22"/>
        </w:rPr>
      </w:pPr>
      <w:r>
        <w:rPr>
          <w:rFonts w:eastAsia="Times New Roman" w:cs="Times New Roman"/>
          <w:b w:val="false"/>
          <w:bCs w:val="false"/>
          <w:i w:val="false"/>
          <w:iCs w:val="false"/>
          <w:color w:val="000000"/>
          <w:sz w:val="22"/>
          <w:szCs w:val="22"/>
          <w:shd w:fill="auto" w:val="clear"/>
        </w:rPr>
        <w:t xml:space="preserve">Conformément à l’article 4.2.2 du RC, une </w:t>
      </w:r>
      <w:r>
        <w:rPr>
          <w:rFonts w:eastAsia="Times New Roman" w:cs="Times New Roman"/>
          <w:b/>
          <w:bCs/>
          <w:i w:val="false"/>
          <w:iCs w:val="false"/>
          <w:color w:val="000000"/>
          <w:sz w:val="22"/>
          <w:szCs w:val="22"/>
          <w:shd w:fill="auto" w:val="clear"/>
        </w:rPr>
        <w:t xml:space="preserve">note sur </w:t>
      </w:r>
      <w:r>
        <w:rPr>
          <w:rFonts w:eastAsia="Times New Roman" w:cs="Times New Roman"/>
          <w:b/>
          <w:bCs/>
          <w:i w:val="false"/>
          <w:iCs w:val="false"/>
          <w:color w:val="000000"/>
          <w:sz w:val="22"/>
          <w:szCs w:val="22"/>
          <w:shd w:fill="auto" w:val="clear"/>
          <w:lang w:val="zxx" w:eastAsia="zxx" w:bidi="zxx"/>
        </w:rPr>
        <w:t>100</w:t>
      </w:r>
      <w:r>
        <w:rPr>
          <w:rFonts w:eastAsia="Times New Roman" w:cs="Times New Roman"/>
          <w:b w:val="false"/>
          <w:bCs w:val="false"/>
          <w:i w:val="false"/>
          <w:iCs w:val="false"/>
          <w:color w:val="000000"/>
          <w:sz w:val="22"/>
          <w:szCs w:val="22"/>
          <w:shd w:fill="auto" w:val="clear"/>
        </w:rPr>
        <w:t xml:space="preserve"> </w:t>
      </w:r>
      <w:r>
        <w:rPr>
          <w:b w:val="false"/>
          <w:bCs w:val="false"/>
          <w:i w:val="false"/>
          <w:color w:val="000000"/>
          <w:sz w:val="22"/>
          <w:szCs w:val="22"/>
          <w:shd w:fill="auto" w:val="clear"/>
        </w:rPr>
        <w:t>sera attribuée à la valeur technique sur la base des critères qualifiants (CQ) affectés de leurs coefficients r</w:t>
      </w:r>
      <w:r>
        <w:rPr>
          <w:b w:val="false"/>
          <w:bCs w:val="false"/>
          <w:i w:val="false"/>
          <w:color w:val="000000"/>
          <w:sz w:val="22"/>
          <w:szCs w:val="22"/>
        </w:rPr>
        <w:t xml:space="preserve">espectifs: </w:t>
      </w:r>
    </w:p>
    <w:p>
      <w:pPr>
        <w:pStyle w:val="Parareponse"/>
        <w:snapToGrid w:val="false"/>
        <w:spacing w:before="0" w:after="0"/>
        <w:ind w:hanging="0" w:left="0" w:right="0"/>
        <w:jc w:val="both"/>
        <w:rPr>
          <w:b w:val="false"/>
          <w:bCs w:val="false"/>
          <w:i w:val="false"/>
          <w:color w:val="000000"/>
          <w:sz w:val="22"/>
          <w:szCs w:val="22"/>
        </w:rPr>
      </w:pPr>
      <w:r>
        <w:rPr>
          <w:b w:val="false"/>
          <w:bCs w:val="false"/>
          <w:i w:val="false"/>
          <w:color w:val="000000"/>
          <w:sz w:val="22"/>
          <w:szCs w:val="22"/>
        </w:rPr>
      </w:r>
    </w:p>
    <w:tbl>
      <w:tblPr>
        <w:tblW w:w="10144" w:type="dxa"/>
        <w:jc w:val="left"/>
        <w:tblInd w:w="100" w:type="dxa"/>
        <w:tblLayout w:type="fixed"/>
        <w:tblCellMar>
          <w:top w:w="55" w:type="dxa"/>
          <w:left w:w="55" w:type="dxa"/>
          <w:bottom w:w="55" w:type="dxa"/>
          <w:right w:w="55" w:type="dxa"/>
        </w:tblCellMar>
      </w:tblPr>
      <w:tblGrid>
        <w:gridCol w:w="8206"/>
        <w:gridCol w:w="1938"/>
      </w:tblGrid>
      <w:tr>
        <w:trPr/>
        <w:tc>
          <w:tcPr>
            <w:tcW w:w="8206" w:type="dxa"/>
            <w:tcBorders>
              <w:top w:val="single" w:sz="2" w:space="0" w:color="000000"/>
              <w:left w:val="single" w:sz="2" w:space="0" w:color="000000"/>
            </w:tcBorders>
            <w:shd w:fill="5983B0" w:val="clear"/>
          </w:tcPr>
          <w:p>
            <w:pPr>
              <w:pStyle w:val="Normal"/>
              <w:widowControl w:val="false"/>
              <w:spacing w:before="0" w:after="0"/>
              <w:jc w:val="center"/>
              <w:rPr>
                <w:rFonts w:cs="Times New Roman"/>
                <w:b/>
                <w:bCs/>
                <w:i w:val="false"/>
                <w:iCs w:val="false"/>
                <w:strike w:val="false"/>
                <w:dstrike w:val="false"/>
                <w:outline w:val="false"/>
                <w:shadow w:val="false"/>
                <w:color w:val="FFFFFF"/>
                <w:sz w:val="22"/>
                <w:szCs w:val="22"/>
                <w:u w:val="none"/>
                <w:shd w:fill="auto" w:val="clear"/>
                <w:lang w:val="zxx" w:eastAsia="zxx" w:bidi="zxx"/>
              </w:rPr>
            </w:pPr>
            <w:r>
              <w:rPr>
                <w:rFonts w:cs="Times New Roman"/>
                <w:b/>
                <w:bCs/>
                <w:i w:val="false"/>
                <w:iCs w:val="false"/>
                <w:strike w:val="false"/>
                <w:dstrike w:val="false"/>
                <w:outline w:val="false"/>
                <w:shadow w:val="false"/>
                <w:color w:val="FFFFFF"/>
                <w:sz w:val="22"/>
                <w:szCs w:val="22"/>
                <w:u w:val="none"/>
                <w:shd w:fill="auto" w:val="clear"/>
                <w:lang w:val="zxx" w:eastAsia="zxx" w:bidi="zxx"/>
              </w:rPr>
              <w:t>Critères qualifiants</w:t>
            </w:r>
          </w:p>
        </w:tc>
        <w:tc>
          <w:tcPr>
            <w:tcW w:w="1938" w:type="dxa"/>
            <w:tcBorders>
              <w:top w:val="single" w:sz="2" w:space="0" w:color="000000"/>
              <w:left w:val="single" w:sz="2" w:space="0" w:color="000000"/>
              <w:bottom w:val="single" w:sz="2" w:space="0" w:color="000000"/>
              <w:right w:val="single" w:sz="2" w:space="0" w:color="000000"/>
            </w:tcBorders>
            <w:shd w:fill="5983B0" w:val="clear"/>
          </w:tcPr>
          <w:p>
            <w:pPr>
              <w:pStyle w:val="Contenudetableau"/>
              <w:widowControl w:val="false"/>
              <w:jc w:val="center"/>
              <w:rPr>
                <w:rFonts w:cs="Times New Roman"/>
                <w:b/>
                <w:bCs/>
                <w:i w:val="false"/>
                <w:iCs w:val="false"/>
                <w:strike w:val="false"/>
                <w:dstrike w:val="false"/>
                <w:outline w:val="false"/>
                <w:shadow w:val="false"/>
                <w:color w:val="FFFFFF"/>
                <w:sz w:val="22"/>
                <w:szCs w:val="22"/>
                <w:u w:val="none"/>
                <w:shd w:fill="auto" w:val="clear"/>
                <w:lang w:val="zxx" w:eastAsia="zxx" w:bidi="zxx"/>
              </w:rPr>
            </w:pPr>
            <w:r>
              <w:rPr>
                <w:rFonts w:cs="Times New Roman"/>
                <w:b/>
                <w:bCs/>
                <w:i w:val="false"/>
                <w:iCs w:val="false"/>
                <w:strike w:val="false"/>
                <w:dstrike w:val="false"/>
                <w:outline w:val="false"/>
                <w:shadow w:val="false"/>
                <w:color w:val="FFFFFF"/>
                <w:sz w:val="22"/>
                <w:szCs w:val="22"/>
                <w:u w:val="none"/>
                <w:shd w:fill="auto" w:val="clear"/>
                <w:lang w:val="zxx" w:eastAsia="zxx" w:bidi="zxx"/>
              </w:rPr>
              <w:t>Coefficient</w:t>
            </w:r>
          </w:p>
        </w:tc>
      </w:tr>
      <w:tr>
        <w:trPr>
          <w:trHeight w:val="307" w:hRule="atLeast"/>
        </w:trPr>
        <w:tc>
          <w:tcPr>
            <w:tcW w:w="8206" w:type="dxa"/>
            <w:tcBorders>
              <w:top w:val="single" w:sz="2" w:space="0" w:color="000000"/>
              <w:left w:val="single" w:sz="2" w:space="0" w:color="000000"/>
              <w:bottom w:val="single" w:sz="2" w:space="0" w:color="000000"/>
            </w:tcBorders>
            <w:vAlign w:val="center"/>
          </w:tcPr>
          <w:p>
            <w:pPr>
              <w:pStyle w:val="Normal"/>
              <w:widowControl w:val="false"/>
              <w:ind w:hanging="0" w:left="0" w:right="57"/>
              <w:jc w:val="both"/>
              <w:rPr>
                <w:rFonts w:ascii="Marianne" w:hAnsi="Marianne"/>
                <w:b/>
                <w:bCs/>
                <w:i w:val="false"/>
                <w:iCs w:val="false"/>
                <w:strike w:val="false"/>
                <w:dstrike w:val="false"/>
                <w:outline w:val="false"/>
                <w:shadow w:val="false"/>
                <w:color w:val="000000"/>
                <w:kern w:val="2"/>
                <w:sz w:val="22"/>
                <w:szCs w:val="22"/>
                <w:u w:val="none"/>
                <w:shd w:fill="auto" w:val="clear"/>
                <w:em w:val="none"/>
              </w:rPr>
            </w:pPr>
            <w:r>
              <w:rPr>
                <w:rFonts w:ascii="Marianne" w:hAnsi="Marianne"/>
                <w:b/>
                <w:bCs/>
                <w:i w:val="false"/>
                <w:iCs w:val="false"/>
                <w:strike w:val="false"/>
                <w:dstrike w:val="false"/>
                <w:outline w:val="false"/>
                <w:shadow w:val="false"/>
                <w:color w:val="000000"/>
                <w:kern w:val="2"/>
                <w:sz w:val="22"/>
                <w:szCs w:val="22"/>
                <w:u w:val="none"/>
                <w:shd w:fill="auto" w:val="clear"/>
                <w:em w:val="none"/>
              </w:rPr>
              <w:t>CQ 1 : La méthodologie d’exécution</w:t>
            </w:r>
          </w:p>
        </w:tc>
        <w:tc>
          <w:tcPr>
            <w:tcW w:w="1938"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Cs/>
                <w:i w:val="false"/>
                <w:iCs w:val="false"/>
                <w:strike w:val="false"/>
                <w:dstrike w:val="false"/>
                <w:outline w:val="false"/>
                <w:shadow w:val="false"/>
                <w:color w:val="auto"/>
                <w:sz w:val="22"/>
                <w:szCs w:val="22"/>
                <w:u w:val="none"/>
                <w:shd w:fill="auto" w:val="clear"/>
              </w:rPr>
            </w:pPr>
            <w:r>
              <w:rPr>
                <w:rFonts w:ascii="Marianne" w:hAnsi="Marianne"/>
                <w:b/>
                <w:bCs/>
                <w:i w:val="false"/>
                <w:iCs w:val="false"/>
                <w:strike w:val="false"/>
                <w:dstrike w:val="false"/>
                <w:outline w:val="false"/>
                <w:shadow w:val="false"/>
                <w:color w:val="auto"/>
                <w:sz w:val="22"/>
                <w:szCs w:val="22"/>
                <w:u w:val="none"/>
                <w:shd w:fill="auto" w:val="clear"/>
              </w:rPr>
              <w:t>5</w:t>
            </w:r>
          </w:p>
        </w:tc>
      </w:tr>
      <w:tr>
        <w:trPr/>
        <w:tc>
          <w:tcPr>
            <w:tcW w:w="8206" w:type="dxa"/>
            <w:tcBorders>
              <w:left w:val="single" w:sz="2" w:space="0" w:color="000000"/>
              <w:bottom w:val="single" w:sz="2" w:space="0" w:color="000000"/>
            </w:tcBorders>
            <w:vAlign w:val="center"/>
          </w:tcPr>
          <w:p>
            <w:pPr>
              <w:pStyle w:val="Normal"/>
              <w:widowControl w:val="false"/>
              <w:ind w:hanging="0" w:left="0" w:right="0"/>
              <w:rPr>
                <w:rFonts w:ascii="Marianne" w:hAnsi="Marianne"/>
                <w:b/>
                <w:bCs/>
                <w:i w:val="false"/>
                <w:iCs w:val="false"/>
                <w:strike w:val="false"/>
                <w:dstrike w:val="false"/>
                <w:outline w:val="false"/>
                <w:shadow w:val="false"/>
                <w:color w:val="000000"/>
                <w:sz w:val="22"/>
                <w:szCs w:val="22"/>
                <w:u w:val="none"/>
                <w:shd w:fill="auto" w:val="clear"/>
                <w:em w:val="none"/>
              </w:rPr>
            </w:pPr>
            <w:r>
              <w:rPr>
                <w:rFonts w:ascii="Marianne" w:hAnsi="Marianne"/>
                <w:b/>
                <w:bCs/>
                <w:i w:val="false"/>
                <w:iCs w:val="false"/>
                <w:strike w:val="false"/>
                <w:dstrike w:val="false"/>
                <w:outline w:val="false"/>
                <w:shadow w:val="false"/>
                <w:color w:val="000000"/>
                <w:sz w:val="22"/>
                <w:szCs w:val="22"/>
                <w:u w:val="none"/>
                <w:shd w:fill="auto" w:val="clear"/>
                <w:em w:val="none"/>
              </w:rPr>
              <w:t>CQ 2 : Les moyens humains et matériels</w:t>
            </w:r>
          </w:p>
        </w:tc>
        <w:tc>
          <w:tcPr>
            <w:tcW w:w="1938" w:type="dxa"/>
            <w:tcBorders>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Cs/>
                <w:i w:val="false"/>
                <w:iCs w:val="false"/>
                <w:strike w:val="false"/>
                <w:dstrike w:val="false"/>
                <w:outline w:val="false"/>
                <w:shadow w:val="false"/>
                <w:color w:val="auto"/>
                <w:sz w:val="22"/>
                <w:szCs w:val="22"/>
                <w:u w:val="none"/>
                <w:shd w:fill="auto" w:val="clear"/>
              </w:rPr>
            </w:pPr>
            <w:r>
              <w:rPr>
                <w:rFonts w:ascii="Marianne" w:hAnsi="Marianne"/>
                <w:b/>
                <w:bCs/>
                <w:i w:val="false"/>
                <w:iCs w:val="false"/>
                <w:strike w:val="false"/>
                <w:dstrike w:val="false"/>
                <w:outline w:val="false"/>
                <w:shadow w:val="false"/>
                <w:color w:val="auto"/>
                <w:sz w:val="22"/>
                <w:szCs w:val="22"/>
                <w:u w:val="none"/>
                <w:shd w:fill="auto" w:val="clear"/>
              </w:rPr>
              <w:t>4</w:t>
            </w:r>
          </w:p>
        </w:tc>
      </w:tr>
      <w:tr>
        <w:trPr>
          <w:trHeight w:val="305" w:hRule="atLeast"/>
        </w:trPr>
        <w:tc>
          <w:tcPr>
            <w:tcW w:w="8206" w:type="dxa"/>
            <w:tcBorders>
              <w:left w:val="single" w:sz="2" w:space="0" w:color="000000"/>
              <w:bottom w:val="single" w:sz="2" w:space="0" w:color="000000"/>
            </w:tcBorders>
            <w:vAlign w:val="center"/>
          </w:tcPr>
          <w:p>
            <w:pPr>
              <w:pStyle w:val="Normal"/>
              <w:widowControl w:val="false"/>
              <w:ind w:hanging="0" w:left="0" w:right="57"/>
              <w:jc w:val="both"/>
              <w:rPr>
                <w:rFonts w:ascii="Marianne" w:hAnsi="Marianne"/>
                <w:shd w:fill="auto" w:val="clear"/>
              </w:rPr>
            </w:pPr>
            <w:r>
              <w:rPr>
                <w:rFonts w:ascii="Marianne" w:hAnsi="Marianne"/>
                <w:b/>
                <w:bCs/>
                <w:i w:val="false"/>
                <w:iCs w:val="false"/>
                <w:strike w:val="false"/>
                <w:dstrike w:val="false"/>
                <w:outline w:val="false"/>
                <w:shadow w:val="false"/>
                <w:color w:val="000000"/>
                <w:sz w:val="22"/>
                <w:szCs w:val="22"/>
                <w:u w:val="none"/>
                <w:shd w:fill="auto" w:val="clear"/>
              </w:rPr>
              <w:t xml:space="preserve">CQ 3 : </w:t>
            </w:r>
            <w:r>
              <w:rPr>
                <w:rFonts w:ascii="Marianne" w:hAnsi="Marianne"/>
                <w:b/>
                <w:bCs/>
                <w:i w:val="false"/>
                <w:iCs w:val="false"/>
                <w:strike w:val="false"/>
                <w:dstrike w:val="false"/>
                <w:outline w:val="false"/>
                <w:shadow w:val="false"/>
                <w:color w:val="000000"/>
                <w:kern w:val="2"/>
                <w:sz w:val="22"/>
                <w:szCs w:val="22"/>
                <w:u w:val="none"/>
                <w:shd w:fill="auto" w:val="clear"/>
                <w:em w:val="none"/>
              </w:rPr>
              <w:t>Qualités des matériaux et conformité technique</w:t>
            </w:r>
          </w:p>
        </w:tc>
        <w:tc>
          <w:tcPr>
            <w:tcW w:w="1938" w:type="dxa"/>
            <w:tcBorders>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Cs/>
                <w:i w:val="false"/>
                <w:iCs w:val="false"/>
                <w:strike w:val="false"/>
                <w:dstrike w:val="false"/>
                <w:outline w:val="false"/>
                <w:shadow w:val="false"/>
                <w:color w:val="auto"/>
                <w:sz w:val="22"/>
                <w:szCs w:val="22"/>
                <w:u w:val="none"/>
                <w:shd w:fill="auto" w:val="clear"/>
              </w:rPr>
            </w:pPr>
            <w:r>
              <w:rPr>
                <w:rFonts w:ascii="Marianne" w:hAnsi="Marianne"/>
                <w:b/>
                <w:bCs/>
                <w:i w:val="false"/>
                <w:iCs w:val="false"/>
                <w:strike w:val="false"/>
                <w:dstrike w:val="false"/>
                <w:outline w:val="false"/>
                <w:shadow w:val="false"/>
                <w:color w:val="auto"/>
                <w:sz w:val="22"/>
                <w:szCs w:val="22"/>
                <w:u w:val="none"/>
                <w:shd w:fill="auto" w:val="clear"/>
              </w:rPr>
              <w:t>4</w:t>
            </w:r>
          </w:p>
        </w:tc>
      </w:tr>
      <w:tr>
        <w:trPr/>
        <w:tc>
          <w:tcPr>
            <w:tcW w:w="8206" w:type="dxa"/>
            <w:tcBorders>
              <w:left w:val="single" w:sz="2" w:space="0" w:color="000000"/>
              <w:bottom w:val="single" w:sz="2" w:space="0" w:color="000000"/>
            </w:tcBorders>
            <w:vAlign w:val="center"/>
          </w:tcPr>
          <w:p>
            <w:pPr>
              <w:pStyle w:val="Normal"/>
              <w:widowControl w:val="false"/>
              <w:jc w:val="both"/>
              <w:rPr>
                <w:rFonts w:ascii="Marianne" w:hAnsi="Marianne"/>
                <w:shd w:fill="auto" w:val="clear"/>
              </w:rPr>
            </w:pPr>
            <w:r>
              <w:rPr>
                <w:rFonts w:cs="Times New Roman" w:ascii="Marianne" w:hAnsi="Marianne"/>
                <w:b/>
                <w:bCs/>
                <w:i w:val="false"/>
                <w:iCs w:val="false"/>
                <w:strike w:val="false"/>
                <w:dstrike w:val="false"/>
                <w:outline w:val="false"/>
                <w:shadow w:val="false"/>
                <w:color w:val="000000"/>
                <w:kern w:val="2"/>
                <w:sz w:val="22"/>
                <w:szCs w:val="22"/>
                <w:u w:val="none"/>
                <w:shd w:fill="auto" w:val="clear"/>
                <w:em w:val="none"/>
              </w:rPr>
              <w:t xml:space="preserve">CQ 4 </w:t>
            </w:r>
            <w:r>
              <w:rPr>
                <w:rFonts w:ascii="Marianne" w:hAnsi="Marianne"/>
                <w:b/>
                <w:bCs/>
                <w:i w:val="false"/>
                <w:strike w:val="false"/>
                <w:dstrike w:val="false"/>
                <w:outline w:val="false"/>
                <w:shadow w:val="false"/>
                <w:color w:val="000000"/>
                <w:kern w:val="2"/>
                <w:sz w:val="22"/>
                <w:szCs w:val="22"/>
                <w:u w:val="none"/>
                <w:shd w:fill="auto" w:val="clear"/>
                <w:em w:val="none"/>
              </w:rPr>
              <w:t>: Planning d’exécution proposé</w:t>
            </w:r>
          </w:p>
        </w:tc>
        <w:tc>
          <w:tcPr>
            <w:tcW w:w="1938" w:type="dxa"/>
            <w:tcBorders>
              <w:left w:val="single" w:sz="2" w:space="0" w:color="000000"/>
              <w:bottom w:val="single" w:sz="2" w:space="0" w:color="000000"/>
              <w:right w:val="single" w:sz="2" w:space="0" w:color="000000"/>
            </w:tcBorders>
            <w:vAlign w:val="center"/>
          </w:tcPr>
          <w:p>
            <w:pPr>
              <w:pStyle w:val="Normal"/>
              <w:widowControl w:val="false"/>
              <w:jc w:val="center"/>
              <w:rPr>
                <w:rFonts w:ascii="Marianne" w:hAnsi="Marianne"/>
                <w:b/>
                <w:bCs/>
                <w:i w:val="false"/>
                <w:strike w:val="false"/>
                <w:dstrike w:val="false"/>
                <w:outline w:val="false"/>
                <w:shadow w:val="false"/>
                <w:color w:val="000000"/>
                <w:kern w:val="2"/>
                <w:sz w:val="22"/>
                <w:szCs w:val="22"/>
                <w:u w:val="none"/>
                <w:shd w:fill="auto" w:val="clear"/>
                <w:em w:val="none"/>
              </w:rPr>
            </w:pPr>
            <w:r>
              <w:rPr>
                <w:rFonts w:ascii="Marianne" w:hAnsi="Marianne"/>
                <w:b/>
                <w:bCs/>
                <w:i w:val="false"/>
                <w:strike w:val="false"/>
                <w:dstrike w:val="false"/>
                <w:outline w:val="false"/>
                <w:shadow w:val="false"/>
                <w:color w:val="000000"/>
                <w:kern w:val="2"/>
                <w:sz w:val="22"/>
                <w:szCs w:val="22"/>
                <w:u w:val="none"/>
                <w:shd w:fill="auto" w:val="clear"/>
                <w:em w:val="none"/>
              </w:rPr>
              <w:t>3</w:t>
            </w:r>
          </w:p>
        </w:tc>
      </w:tr>
    </w:tbl>
    <w:p>
      <w:pPr>
        <w:pStyle w:val="Normal"/>
        <w:snapToGrid w:val="false"/>
        <w:spacing w:before="0" w:after="0"/>
        <w:jc w:val="both"/>
        <w:rPr>
          <w:i w:val="false"/>
          <w:color w:val="000000"/>
          <w:sz w:val="22"/>
          <w:szCs w:val="22"/>
        </w:rPr>
      </w:pPr>
      <w:r>
        <w:rPr>
          <w:i w:val="false"/>
          <w:color w:val="000000"/>
          <w:sz w:val="22"/>
          <w:szCs w:val="22"/>
        </w:rPr>
      </w:r>
    </w:p>
    <w:p>
      <w:pPr>
        <w:pStyle w:val="Normal"/>
        <w:snapToGrid w:val="false"/>
        <w:spacing w:before="0" w:after="0"/>
        <w:jc w:val="both"/>
        <w:rPr>
          <w:i w:val="false"/>
          <w:color w:val="000000"/>
          <w:sz w:val="22"/>
          <w:szCs w:val="22"/>
        </w:rPr>
      </w:pPr>
      <w:r>
        <w:rPr>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snapToGrid w:val="false"/>
        <w:spacing w:before="0" w:after="0"/>
        <w:jc w:val="both"/>
        <w:rPr>
          <w:b w:val="false"/>
          <w:i w:val="false"/>
          <w:color w:val="000000"/>
          <w:sz w:val="22"/>
          <w:szCs w:val="22"/>
        </w:rPr>
      </w:pPr>
      <w:r>
        <w:rPr>
          <w:b w:val="false"/>
          <w:i w:val="false"/>
          <w:color w:val="000000"/>
          <w:sz w:val="22"/>
          <w:szCs w:val="22"/>
        </w:rPr>
      </w:r>
    </w:p>
    <w:tbl>
      <w:tblPr>
        <w:tblW w:w="5000" w:type="pct"/>
        <w:jc w:val="left"/>
        <w:tblInd w:w="0" w:type="dxa"/>
        <w:tblLayout w:type="fixed"/>
        <w:tblCellMar>
          <w:top w:w="0" w:type="dxa"/>
          <w:left w:w="0" w:type="dxa"/>
          <w:bottom w:w="0" w:type="dxa"/>
          <w:right w:w="0" w:type="dxa"/>
        </w:tblCellMar>
      </w:tblPr>
      <w:tblGrid>
        <w:gridCol w:w="10772"/>
      </w:tblGrid>
      <w:tr>
        <w:trPr/>
        <w:tc>
          <w:tcPr>
            <w:tcW w:w="10772" w:type="dxa"/>
            <w:tcBorders/>
            <w:shd w:fill="FFFFD7" w:val="clear"/>
          </w:tcPr>
          <w:p>
            <w:pPr>
              <w:pStyle w:val="Normal"/>
              <w:widowControl w:val="false"/>
              <w:snapToGrid w:val="false"/>
              <w:spacing w:before="0" w:after="0"/>
              <w:jc w:val="both"/>
              <w:rPr>
                <w:b w:val="false"/>
                <w:i w:val="false"/>
                <w:color w:val="000000"/>
                <w:sz w:val="22"/>
                <w:szCs w:val="22"/>
              </w:rPr>
            </w:pPr>
            <w:r>
              <w:drawing>
                <wp:anchor behindDoc="0" distT="0" distB="0" distL="0" distR="0" simplePos="0" locked="0" layoutInCell="1" allowOverlap="1" relativeHeight="3">
                  <wp:simplePos x="0" y="0"/>
                  <wp:positionH relativeFrom="column">
                    <wp:posOffset>133985</wp:posOffset>
                  </wp:positionH>
                  <wp:positionV relativeFrom="paragraph">
                    <wp:posOffset>7620</wp:posOffset>
                  </wp:positionV>
                  <wp:extent cx="337820" cy="307975"/>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3"/>
                          <a:srcRect l="-20" t="-22" r="-20" b="-22"/>
                          <a:stretch>
                            <a:fillRect/>
                          </a:stretch>
                        </pic:blipFill>
                        <pic:spPr bwMode="auto">
                          <a:xfrm>
                            <a:off x="0" y="0"/>
                            <a:ext cx="337820" cy="307975"/>
                          </a:xfrm>
                          <a:prstGeom prst="rect">
                            <a:avLst/>
                          </a:prstGeom>
                          <a:noFill/>
                        </pic:spPr>
                      </pic:pic>
                    </a:graphicData>
                  </a:graphic>
                </wp:anchor>
              </w:drawing>
            </w:r>
            <w:r>
              <w:rPr>
                <w:b w:val="false"/>
                <w:i w:val="false"/>
                <w:color w:val="000000"/>
                <w:sz w:val="22"/>
                <w:szCs w:val="22"/>
              </w:rPr>
              <w:t>Le présent document constitue la proposition technique du candidat. À ce titre, elle doit obligatoirement être renseignée en respectant scrupuleusement les cadres de réponse. A savoir :</w:t>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Nombre de pages maximum du présent cadre de réponse technique  : </w:t>
            </w:r>
            <w:r>
              <w:rPr>
                <w:b/>
                <w:bCs/>
                <w:i w:val="false"/>
                <w:color w:val="000000"/>
                <w:sz w:val="22"/>
                <w:szCs w:val="22"/>
              </w:rPr>
              <w:t>25</w:t>
            </w:r>
            <w:r>
              <w:rPr>
                <w:b w:val="false"/>
                <w:i w:val="false"/>
                <w:color w:val="000000"/>
                <w:sz w:val="22"/>
                <w:szCs w:val="22"/>
              </w:rPr>
              <w:t xml:space="preserve"> (hors les 2 premières pages de présentation)</w:t>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Police :  </w:t>
            </w:r>
            <w:r>
              <w:rPr>
                <w:b/>
                <w:bCs/>
                <w:i w:val="false"/>
                <w:color w:val="000000"/>
                <w:sz w:val="22"/>
                <w:szCs w:val="22"/>
              </w:rPr>
              <w:t>Libération Serif - taille 11,</w:t>
            </w:r>
          </w:p>
          <w:p>
            <w:pPr>
              <w:pStyle w:val="Normal"/>
              <w:widowControl w:val="false"/>
              <w:snapToGrid w:val="false"/>
              <w:spacing w:before="0" w:after="0"/>
              <w:jc w:val="both"/>
              <w:rPr>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Interligne ; </w:t>
            </w:r>
            <w:r>
              <w:rPr>
                <w:b/>
                <w:bCs/>
                <w:i w:val="false"/>
                <w:color w:val="000000"/>
                <w:sz w:val="22"/>
                <w:szCs w:val="22"/>
              </w:rPr>
              <w:t>Simple.</w:t>
            </w:r>
          </w:p>
          <w:p>
            <w:pPr>
              <w:pStyle w:val="Normal"/>
              <w:widowControl w:val="false"/>
              <w:snapToGrid w:val="false"/>
              <w:spacing w:before="0" w:after="0"/>
              <w:jc w:val="both"/>
              <w:rPr>
                <w:sz w:val="22"/>
                <w:szCs w:val="22"/>
              </w:rPr>
            </w:pPr>
            <w:r>
              <w:rPr>
                <w:sz w:val="22"/>
                <w:szCs w:val="22"/>
              </w:rPr>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Aucune modification sur le fond et sur la forme n’est tolérée. Aucune page supplémentaire, aucun renvoi ou autre pièce jointe ne sera pris en considération par le pouvoir adjudicateur et analysé.</w:t>
            </w:r>
          </w:p>
          <w:p>
            <w:pPr>
              <w:pStyle w:val="Normal"/>
              <w:widowControl w:val="false"/>
              <w:snapToGrid w:val="false"/>
              <w:spacing w:before="0" w:after="0"/>
              <w:jc w:val="both"/>
              <w:rPr>
                <w:sz w:val="22"/>
                <w:szCs w:val="22"/>
              </w:rPr>
            </w:pPr>
            <w:r>
              <w:rPr>
                <w:b w:val="false"/>
                <w:i w:val="false"/>
                <w:color w:val="000000"/>
                <w:sz w:val="22"/>
                <w:szCs w:val="22"/>
              </w:rPr>
              <w:t>Cette proposition technique doit être jointe à l’offre, sous peine de rejet de l’offre.</w:t>
            </w:r>
          </w:p>
          <w:p>
            <w:pPr>
              <w:pStyle w:val="Normal"/>
              <w:widowControl w:val="false"/>
              <w:snapToGrid w:val="false"/>
              <w:spacing w:before="0" w:after="0"/>
              <w:jc w:val="center"/>
              <w:rPr>
                <w:sz w:val="22"/>
                <w:szCs w:val="22"/>
              </w:rPr>
            </w:pPr>
            <w:r>
              <w:rPr>
                <w:sz w:val="22"/>
                <w:szCs w:val="22"/>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567" w:right="567" w:gutter="0" w:header="567" w:top="1092" w:footer="567" w:bottom="1162"/>
          <w:pgNumType w:fmt="decimal"/>
          <w:formProt w:val="false"/>
          <w:textDirection w:val="lrTb"/>
          <w:docGrid w:type="default" w:linePitch="312"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sz w:val="12"/>
          <w:szCs w:val="12"/>
        </w:rPr>
      </w:pPr>
      <w:r>
        <w:rPr>
          <w:rFonts w:cs="Times New Roman"/>
          <w:b/>
          <w:bCs/>
          <w:i w:val="false"/>
          <w:iCs w:val="false"/>
          <w:strike w:val="false"/>
          <w:dstrike w:val="false"/>
          <w:outline w:val="false"/>
          <w:shadow w:val="false"/>
          <w:color w:val="FFFFD7"/>
          <w:sz w:val="22"/>
          <w:szCs w:val="22"/>
          <w:u w:val="none"/>
          <w:shd w:fill="auto" w:val="clear"/>
        </w:rPr>
        <w:t>CQ 1 : La méthodologie d’exécution</w:t>
      </w:r>
      <w:r>
        <w:rPr>
          <w:rFonts w:cs="Times New Roman"/>
          <w:b/>
          <w:bCs/>
          <w:i w:val="false"/>
          <w:iCs w:val="false"/>
          <w:strike w:val="false"/>
          <w:dstrike w:val="false"/>
          <w:outline w:val="false"/>
          <w:shadow w:val="false"/>
          <w:color w:val="FFFFD7"/>
          <w:kern w:val="2"/>
          <w:sz w:val="22"/>
          <w:szCs w:val="22"/>
          <w:u w:val="none"/>
          <w:shd w:fill="auto" w:val="clear"/>
          <w:em w:val="none"/>
        </w:rPr>
        <w:t xml:space="preserve"> </w:t>
      </w:r>
      <w:r>
        <w:rPr>
          <w:rFonts w:cs="Times New Roman"/>
          <w:b/>
          <w:bCs/>
          <w:i w:val="false"/>
          <w:iCs w:val="false"/>
          <w:strike w:val="false"/>
          <w:dstrike w:val="false"/>
          <w:outline w:val="false"/>
          <w:shadow w:val="false"/>
          <w:color w:val="FFFFD7"/>
          <w:sz w:val="22"/>
          <w:szCs w:val="22"/>
          <w:u w:val="none"/>
          <w:shd w:fill="auto" w:val="clear"/>
        </w:rPr>
        <w:t xml:space="preserve"> →  Coefficient 5</w:t>
      </w:r>
    </w:p>
    <w:p>
      <w:pPr>
        <w:pStyle w:val="Normal"/>
        <w:snapToGrid w:val="false"/>
        <w:spacing w:lineRule="auto" w:line="240" w:before="0" w:after="0"/>
        <w:ind w:hanging="0" w:left="0" w:right="0"/>
        <w:contextualSpacing/>
        <w:jc w:val="left"/>
        <w:rPr>
          <w:sz w:val="12"/>
          <w:szCs w:val="12"/>
        </w:rPr>
      </w:pPr>
      <w:r>
        <w:rPr>
          <w:sz w:val="12"/>
          <w:szCs w:val="12"/>
        </w:rPr>
      </w:r>
    </w:p>
    <w:tbl>
      <w:tblPr>
        <w:tblW w:w="15799" w:type="dxa"/>
        <w:jc w:val="left"/>
        <w:tblInd w:w="-14" w:type="dxa"/>
        <w:tblLayout w:type="fixed"/>
        <w:tblCellMar>
          <w:top w:w="28" w:type="dxa"/>
          <w:left w:w="28" w:type="dxa"/>
          <w:bottom w:w="28" w:type="dxa"/>
          <w:right w:w="28" w:type="dxa"/>
        </w:tblCellMar>
      </w:tblPr>
      <w:tblGrid>
        <w:gridCol w:w="2663"/>
        <w:gridCol w:w="13136"/>
      </w:tblGrid>
      <w:tr>
        <w:trPr/>
        <w:tc>
          <w:tcPr>
            <w:tcW w:w="15799" w:type="dxa"/>
            <w:gridSpan w:val="2"/>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b/>
                <w:bCs/>
                <w:sz w:val="22"/>
                <w:szCs w:val="22"/>
              </w:rPr>
              <w:t>Description</w:t>
            </w:r>
          </w:p>
        </w:tc>
      </w:tr>
      <w:tr>
        <w:trPr>
          <w:trHeight w:val="3005" w:hRule="exact"/>
        </w:trPr>
        <w:tc>
          <w:tcPr>
            <w:tcW w:w="2663" w:type="dxa"/>
            <w:tcBorders>
              <w:left w:val="single" w:sz="2" w:space="0" w:color="000000"/>
              <w:bottom w:val="single" w:sz="2" w:space="0" w:color="000000"/>
            </w:tcBorders>
            <w:vAlign w:val="center"/>
          </w:tcPr>
          <w:p>
            <w:pPr>
              <w:pStyle w:val="Normal"/>
              <w:suppressAutoHyphens w:val="true"/>
              <w:ind w:hanging="0" w:left="0" w:right="0"/>
              <w:rPr>
                <w:b w:val="false"/>
                <w:i w:val="false"/>
                <w:strike w:val="false"/>
                <w:dstrike w:val="false"/>
                <w:outline w:val="false"/>
                <w:shadow w:val="false"/>
                <w:color w:val="000000"/>
                <w:u w:val="none"/>
                <w:em w:val="none"/>
              </w:rPr>
            </w:pPr>
            <w:r>
              <w:rPr>
                <w:rFonts w:eastAsia="Wingdings" w:cs="Arial"/>
                <w:b w:val="false"/>
                <w:i w:val="false"/>
                <w:strike w:val="false"/>
                <w:dstrike w:val="false"/>
                <w:outline w:val="false"/>
                <w:shadow w:val="false"/>
                <w:color w:val="000000"/>
                <w:u w:val="none"/>
                <w:em w:val="none"/>
              </w:rPr>
              <w:t>organisation du chantier</w:t>
            </w:r>
          </w:p>
        </w:tc>
        <w:tc>
          <w:tcPr>
            <w:tcW w:w="13136" w:type="dxa"/>
            <w:tcBorders>
              <w:left w:val="single" w:sz="2" w:space="0" w:color="000000"/>
              <w:bottom w:val="single" w:sz="2" w:space="0" w:color="000000"/>
              <w:right w:val="single" w:sz="2" w:space="0" w:color="000000"/>
            </w:tcBorders>
          </w:tcPr>
          <w:p>
            <w:pPr>
              <w:pStyle w:val="Contenudetableauuser"/>
              <w:widowControl w:val="false"/>
              <w:ind w:hanging="0" w:left="0" w:right="57"/>
              <w:rPr>
                <w:b w:val="false"/>
                <w:i w:val="false"/>
                <w:color w:val="000000"/>
                <w:sz w:val="22"/>
                <w:szCs w:val="22"/>
              </w:rPr>
            </w:pPr>
            <w:r>
              <w:rPr>
                <w:b w:val="false"/>
                <w:i w:val="false"/>
                <w:color w:val="000000"/>
                <w:sz w:val="22"/>
                <w:szCs w:val="22"/>
              </w:rPr>
            </w:r>
          </w:p>
          <w:p>
            <w:pPr>
              <w:pStyle w:val="Contenudetableauuser"/>
              <w:widowControl w:val="false"/>
              <w:ind w:hanging="0" w:left="0" w:right="57"/>
              <w:rPr>
                <w:b w:val="false"/>
                <w:i w:val="false"/>
                <w:color w:val="000000"/>
                <w:sz w:val="22"/>
                <w:szCs w:val="22"/>
              </w:rPr>
            </w:pPr>
            <w:r>
              <w:rPr>
                <w:b w:val="false"/>
                <w:i w:val="false"/>
                <w:color w:val="000000"/>
                <w:sz w:val="22"/>
                <w:szCs w:val="22"/>
              </w:rPr>
            </w:r>
          </w:p>
        </w:tc>
      </w:tr>
      <w:tr>
        <w:trPr>
          <w:trHeight w:val="3005" w:hRule="exact"/>
        </w:trPr>
        <w:tc>
          <w:tcPr>
            <w:tcW w:w="2663" w:type="dxa"/>
            <w:tcBorders>
              <w:left w:val="single" w:sz="2" w:space="0" w:color="000000"/>
              <w:bottom w:val="single" w:sz="2" w:space="0" w:color="000000"/>
            </w:tcBorders>
            <w:vAlign w:val="center"/>
          </w:tcPr>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t>phasage des travaux (démolition / fondations / élévation mur / concertina)</w:t>
            </w:r>
          </w:p>
        </w:tc>
        <w:tc>
          <w:tcPr>
            <w:tcW w:w="13136" w:type="dxa"/>
            <w:tcBorders>
              <w:left w:val="single" w:sz="2" w:space="0" w:color="000000"/>
              <w:bottom w:val="single" w:sz="2" w:space="0" w:color="000000"/>
              <w:right w:val="single" w:sz="2" w:space="0" w:color="000000"/>
            </w:tcBorders>
          </w:tcPr>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tc>
      </w:tr>
      <w:tr>
        <w:trPr>
          <w:trHeight w:val="3005" w:hRule="exact"/>
        </w:trPr>
        <w:tc>
          <w:tcPr>
            <w:tcW w:w="2663" w:type="dxa"/>
            <w:tcBorders>
              <w:left w:val="single" w:sz="2" w:space="0" w:color="000000"/>
              <w:bottom w:val="single" w:sz="2" w:space="0" w:color="000000"/>
            </w:tcBorders>
            <w:vAlign w:val="center"/>
          </w:tcPr>
          <w:p>
            <w:pPr>
              <w:pStyle w:val="Normal"/>
              <w:widowControl/>
              <w:suppressAutoHyphens w:val="true"/>
              <w:overflowPunct w:val="tru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t>prise en compte des contraintes du site (proximité réseaux, maintien de la sûreté du site)</w:t>
            </w:r>
          </w:p>
        </w:tc>
        <w:tc>
          <w:tcPr>
            <w:tcW w:w="13136" w:type="dxa"/>
            <w:tcBorders>
              <w:left w:val="single" w:sz="2" w:space="0" w:color="000000"/>
              <w:bottom w:val="single" w:sz="2" w:space="0" w:color="000000"/>
              <w:right w:val="single" w:sz="2" w:space="0" w:color="000000"/>
            </w:tcBorders>
          </w:tcPr>
          <w:p>
            <w:pPr>
              <w:pStyle w:val="Contenudetableauuser"/>
              <w:widowControl w:val="false"/>
              <w:ind w:hanging="0" w:left="0" w:right="57"/>
              <w:rPr>
                <w:b w:val="false"/>
                <w:i w:val="false"/>
                <w:color w:val="000000"/>
                <w:sz w:val="22"/>
                <w:szCs w:val="22"/>
              </w:rPr>
            </w:pPr>
            <w:r>
              <w:rPr>
                <w:b w:val="false"/>
                <w:i w:val="false"/>
                <w:color w:val="000000"/>
                <w:sz w:val="22"/>
                <w:szCs w:val="22"/>
              </w:rPr>
            </w:r>
          </w:p>
        </w:tc>
      </w:tr>
    </w:tbl>
    <w:p>
      <w:pPr>
        <w:sectPr>
          <w:headerReference w:type="even" r:id="rId10"/>
          <w:headerReference w:type="default" r:id="rId11"/>
          <w:headerReference w:type="first" r:id="rId12"/>
          <w:footerReference w:type="even" r:id="rId13"/>
          <w:footerReference w:type="default" r:id="rId14"/>
          <w:footerReference w:type="first" r:id="rId15"/>
          <w:type w:val="nextPage"/>
          <w:pgSz w:orient="landscape" w:w="16838" w:h="11906"/>
          <w:pgMar w:left="567" w:right="567" w:gutter="0" w:header="0" w:top="567" w:footer="454" w:bottom="992"/>
          <w:pgNumType w:fmt="decimal"/>
          <w:formProt w:val="false"/>
          <w:textDirection w:val="lrTb"/>
          <w:docGrid w:type="default" w:linePitch="100"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kern w:val="2"/>
          <w:sz w:val="22"/>
          <w:szCs w:val="22"/>
          <w:u w:val="none"/>
          <w:shd w:fill="auto" w:val="clear"/>
          <w:em w:val="none"/>
        </w:rPr>
        <w:t>CQ 2 </w:t>
      </w:r>
      <w:r>
        <w:rPr>
          <w:rFonts w:cs="Times New Roman"/>
          <w:b w:val="false"/>
          <w:bCs/>
          <w:i w:val="false"/>
          <w:iCs w:val="false"/>
          <w:strike w:val="false"/>
          <w:dstrike w:val="false"/>
          <w:outline w:val="false"/>
          <w:shadow w:val="false"/>
          <w:color w:val="FFFFD7"/>
          <w:kern w:val="2"/>
          <w:sz w:val="22"/>
          <w:szCs w:val="22"/>
          <w:u w:val="none"/>
          <w:shd w:fill="auto" w:val="clear"/>
          <w:em w:val="none"/>
        </w:rPr>
        <w:t>: Les moyens humains et matériels</w:t>
      </w:r>
      <w:r>
        <w:rPr>
          <w:rFonts w:cs="Times New Roman"/>
          <w:b/>
          <w:bCs/>
          <w:i w:val="false"/>
          <w:iCs w:val="false"/>
          <w:strike w:val="false"/>
          <w:dstrike w:val="false"/>
          <w:outline w:val="false"/>
          <w:shadow w:val="false"/>
          <w:color w:val="FFFFD7"/>
          <w:kern w:val="2"/>
          <w:sz w:val="22"/>
          <w:szCs w:val="22"/>
          <w:u w:val="none"/>
          <w:shd w:fill="auto" w:val="clear"/>
          <w:em w:val="none"/>
        </w:rPr>
        <w:t xml:space="preserve"> </w:t>
      </w:r>
      <w:r>
        <w:rPr>
          <w:rFonts w:cs="Times New Roman"/>
          <w:b/>
          <w:bCs/>
          <w:i w:val="false"/>
          <w:iCs w:val="false"/>
          <w:strike w:val="false"/>
          <w:dstrike w:val="false"/>
          <w:outline w:val="false"/>
          <w:shadow w:val="false"/>
          <w:color w:val="FFFFD7"/>
          <w:sz w:val="22"/>
          <w:szCs w:val="22"/>
          <w:u w:val="none"/>
          <w:shd w:fill="auto" w:val="clear"/>
        </w:rPr>
        <w:t xml:space="preserve">  →  Coefficient 4</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695" w:type="dxa"/>
        <w:jc w:val="left"/>
        <w:tblInd w:w="86" w:type="dxa"/>
        <w:tblLayout w:type="fixed"/>
        <w:tblCellMar>
          <w:top w:w="28" w:type="dxa"/>
          <w:left w:w="28" w:type="dxa"/>
          <w:bottom w:w="28" w:type="dxa"/>
          <w:right w:w="28" w:type="dxa"/>
        </w:tblCellMar>
      </w:tblPr>
      <w:tblGrid>
        <w:gridCol w:w="2575"/>
        <w:gridCol w:w="13120"/>
      </w:tblGrid>
      <w:tr>
        <w:trPr/>
        <w:tc>
          <w:tcPr>
            <w:tcW w:w="15695" w:type="dxa"/>
            <w:gridSpan w:val="2"/>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rFonts w:eastAsia="SimSun" w:cs="Mangal"/>
                <w:b/>
                <w:bCs/>
                <w:color w:val="auto"/>
                <w:kern w:val="2"/>
                <w:sz w:val="22"/>
                <w:szCs w:val="22"/>
                <w:lang w:val="fr-FR" w:eastAsia="zh-CN" w:bidi="hi-IN"/>
              </w:rPr>
              <w:t>Description</w:t>
            </w:r>
          </w:p>
        </w:tc>
      </w:tr>
      <w:tr>
        <w:trPr>
          <w:trHeight w:val="3005" w:hRule="exact"/>
        </w:trPr>
        <w:tc>
          <w:tcPr>
            <w:tcW w:w="2575" w:type="dxa"/>
            <w:tcBorders>
              <w:left w:val="single" w:sz="2" w:space="0" w:color="000000"/>
              <w:bottom w:val="single" w:sz="2" w:space="0" w:color="000000"/>
            </w:tcBorders>
            <w:vAlign w:val="center"/>
          </w:tcPr>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rFonts w:eastAsia="Wingdings" w:cs="Arial"/>
                <w:b w:val="false"/>
                <w:i w:val="false"/>
                <w:strike w:val="false"/>
                <w:dstrike w:val="false"/>
                <w:outline w:val="false"/>
                <w:shadow w:val="false"/>
                <w:color w:val="111111"/>
                <w:kern w:val="2"/>
                <w:sz w:val="22"/>
                <w:szCs w:val="22"/>
                <w:u w:val="none"/>
                <w:em w:val="none"/>
                <w:lang w:val="fr-FR" w:eastAsia="zh-CN" w:bidi="ar-SA"/>
              </w:rPr>
              <w:t>qualifications de l'équipe</w:t>
            </w:r>
          </w:p>
        </w:tc>
        <w:tc>
          <w:tcPr>
            <w:tcW w:w="13120" w:type="dxa"/>
            <w:tcBorders>
              <w:left w:val="single" w:sz="2" w:space="0" w:color="000000"/>
              <w:bottom w:val="single" w:sz="2" w:space="0" w:color="000000"/>
              <w:right w:val="single" w:sz="2" w:space="0" w:color="000000"/>
            </w:tcBorders>
          </w:tcPr>
          <w:p>
            <w:pPr>
              <w:pStyle w:val="Contenudetableauuser"/>
              <w:widowControl w:val="false"/>
              <w:ind w:hanging="0" w:left="0" w:right="57"/>
              <w:rPr>
                <w:b w:val="false"/>
                <w:i w:val="false"/>
                <w:color w:val="000000"/>
                <w:sz w:val="22"/>
                <w:szCs w:val="22"/>
              </w:rPr>
            </w:pPr>
            <w:r>
              <w:rPr>
                <w:b w:val="false"/>
                <w:i w:val="false"/>
                <w:color w:val="000000"/>
                <w:sz w:val="22"/>
                <w:szCs w:val="22"/>
              </w:rPr>
            </w:r>
          </w:p>
        </w:tc>
      </w:tr>
      <w:tr>
        <w:trPr>
          <w:trHeight w:val="3005" w:hRule="exact"/>
        </w:trPr>
        <w:tc>
          <w:tcPr>
            <w:tcW w:w="2575" w:type="dxa"/>
            <w:tcBorders>
              <w:left w:val="single" w:sz="2" w:space="0" w:color="000000"/>
              <w:bottom w:val="single" w:sz="2" w:space="0" w:color="000000"/>
            </w:tcBorders>
            <w:vAlign w:val="center"/>
          </w:tcPr>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rFonts w:eastAsia="Wingdings" w:cs="Arial"/>
                <w:b w:val="false"/>
                <w:i w:val="false"/>
                <w:strike w:val="false"/>
                <w:dstrike w:val="false"/>
                <w:outline w:val="false"/>
                <w:shadow w:val="false"/>
                <w:color w:val="111111"/>
                <w:kern w:val="2"/>
                <w:sz w:val="22"/>
                <w:szCs w:val="20"/>
                <w:u w:val="none"/>
                <w:em w:val="none"/>
                <w:lang w:val="fr-FR" w:eastAsia="zh-CN" w:bidi="ar-SA"/>
              </w:rPr>
              <w:t>encadrement de chantier</w:t>
            </w:r>
          </w:p>
        </w:tc>
        <w:tc>
          <w:tcPr>
            <w:tcW w:w="13120" w:type="dxa"/>
            <w:tcBorders>
              <w:left w:val="single" w:sz="2" w:space="0" w:color="000000"/>
              <w:bottom w:val="single" w:sz="2" w:space="0" w:color="000000"/>
              <w:right w:val="single" w:sz="2" w:space="0" w:color="000000"/>
            </w:tcBorders>
          </w:tcPr>
          <w:p>
            <w:pPr>
              <w:pStyle w:val="Contenudetableauuser"/>
              <w:widowControl w:val="false"/>
              <w:ind w:hanging="0" w:left="0" w:right="57"/>
              <w:rPr>
                <w:b w:val="false"/>
                <w:i w:val="false"/>
                <w:color w:val="000000"/>
                <w:sz w:val="22"/>
                <w:szCs w:val="22"/>
              </w:rPr>
            </w:pPr>
            <w:r>
              <w:rPr>
                <w:b w:val="false"/>
                <w:i w:val="false"/>
                <w:color w:val="000000"/>
                <w:sz w:val="22"/>
                <w:szCs w:val="22"/>
              </w:rPr>
            </w:r>
          </w:p>
        </w:tc>
      </w:tr>
      <w:tr>
        <w:trPr>
          <w:trHeight w:val="3005" w:hRule="exact"/>
        </w:trPr>
        <w:tc>
          <w:tcPr>
            <w:tcW w:w="2575" w:type="dxa"/>
            <w:tcBorders>
              <w:left w:val="single" w:sz="2" w:space="0" w:color="000000"/>
              <w:bottom w:val="single" w:sz="2" w:space="0" w:color="000000"/>
            </w:tcBorders>
            <w:vAlign w:val="center"/>
          </w:tcPr>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true"/>
              <w:bidi w:val="0"/>
              <w:snapToGrid w:val="false"/>
              <w:spacing w:before="0" w:after="0"/>
              <w:ind w:hanging="0" w:left="0" w:right="0"/>
              <w:jc w:val="both"/>
              <w:rPr>
                <w:sz w:val="22"/>
                <w:szCs w:val="22"/>
              </w:rPr>
            </w:pPr>
            <w:r>
              <w:rPr>
                <w:rFonts w:eastAsia="Wingdings" w:cs="Arial"/>
                <w:b w:val="false"/>
                <w:i w:val="false"/>
                <w:strike w:val="false"/>
                <w:dstrike w:val="false"/>
                <w:outline w:val="false"/>
                <w:shadow w:val="false"/>
                <w:color w:val="111111"/>
                <w:kern w:val="2"/>
                <w:sz w:val="22"/>
                <w:szCs w:val="20"/>
                <w:u w:val="none"/>
                <w:em w:val="none"/>
                <w:lang w:val="fr-FR" w:eastAsia="zh-CN" w:bidi="ar-SA"/>
              </w:rPr>
              <w:t>moyens matériels pour terrassement, maçonnerie et sécurité</w:t>
            </w:r>
          </w:p>
          <w:p>
            <w:pPr>
              <w:pStyle w:val="Normal"/>
              <w:bidi w:val="0"/>
              <w:jc w:val="left"/>
              <w:rPr/>
            </w:pPr>
            <w:r>
              <w:rPr/>
            </w:r>
          </w:p>
        </w:tc>
        <w:tc>
          <w:tcPr>
            <w:tcW w:w="13120" w:type="dxa"/>
            <w:tcBorders>
              <w:left w:val="single" w:sz="2" w:space="0" w:color="000000"/>
              <w:bottom w:val="single" w:sz="2" w:space="0" w:color="000000"/>
              <w:right w:val="single" w:sz="2" w:space="0" w:color="000000"/>
            </w:tcBorders>
          </w:tcPr>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p>
            <w:pPr>
              <w:pStyle w:val="Contenudetableauuser"/>
              <w:widowControl w:val="false"/>
              <w:rPr>
                <w:b w:val="false"/>
                <w:i w:val="false"/>
                <w:color w:val="000000"/>
                <w:sz w:val="22"/>
                <w:szCs w:val="22"/>
              </w:rPr>
            </w:pPr>
            <w:r>
              <w:rPr>
                <w:b w:val="false"/>
                <w:i w:val="false"/>
                <w:color w:val="000000"/>
                <w:sz w:val="22"/>
                <w:szCs w:val="22"/>
              </w:rPr>
            </w:r>
          </w:p>
        </w:tc>
      </w:tr>
    </w:tbl>
    <w:p>
      <w:pPr>
        <w:sectPr>
          <w:headerReference w:type="even" r:id="rId16"/>
          <w:headerReference w:type="default" r:id="rId17"/>
          <w:headerReference w:type="first" r:id="rId18"/>
          <w:footerReference w:type="even" r:id="rId19"/>
          <w:footerReference w:type="default" r:id="rId20"/>
          <w:footerReference w:type="first" r:id="rId21"/>
          <w:type w:val="nextPage"/>
          <w:pgSz w:orient="landscape" w:w="16838" w:h="11906"/>
          <w:pgMar w:left="567" w:right="567" w:gutter="0" w:header="0" w:top="567" w:footer="454" w:bottom="992"/>
          <w:pgNumType w:fmt="decimal"/>
          <w:formProt w:val="false"/>
          <w:textDirection w:val="lrTb"/>
          <w:docGrid w:type="default" w:linePitch="100"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sz w:val="22"/>
          <w:szCs w:val="22"/>
          <w:u w:val="none"/>
          <w:shd w:fill="auto" w:val="clear"/>
        </w:rPr>
        <w:t xml:space="preserve">CQ 3 : </w:t>
      </w:r>
      <w:r>
        <w:rPr>
          <w:rFonts w:eastAsia="SimSun" w:cs="Times New Roman"/>
          <w:b/>
          <w:bCs/>
          <w:i w:val="false"/>
          <w:iCs w:val="false"/>
          <w:strike w:val="false"/>
          <w:dstrike w:val="false"/>
          <w:outline w:val="false"/>
          <w:shadow w:val="false"/>
          <w:color w:val="FFFFD7"/>
          <w:kern w:val="2"/>
          <w:sz w:val="22"/>
          <w:szCs w:val="22"/>
          <w:u w:val="none"/>
          <w:shd w:fill="auto" w:val="clear"/>
          <w:em w:val="none"/>
          <w:lang w:val="fr-FR" w:eastAsia="zh-CN" w:bidi="hi-IN"/>
        </w:rPr>
        <w:t>Qualités des matériaux et conformité technique</w:t>
      </w:r>
      <w:r>
        <w:rPr>
          <w:rFonts w:cs="Times New Roman"/>
          <w:b/>
          <w:bCs/>
          <w:i w:val="false"/>
          <w:iCs w:val="false"/>
          <w:strike w:val="false"/>
          <w:dstrike w:val="false"/>
          <w:outline w:val="false"/>
          <w:shadow w:val="false"/>
          <w:color w:val="FFFFD7"/>
          <w:sz w:val="22"/>
          <w:szCs w:val="22"/>
          <w:u w:val="none"/>
          <w:shd w:fill="auto" w:val="clear"/>
        </w:rPr>
        <w:t>→ Coefficient 4</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705" w:type="dxa"/>
        <w:jc w:val="left"/>
        <w:tblInd w:w="86" w:type="dxa"/>
        <w:tblLayout w:type="fixed"/>
        <w:tblCellMar>
          <w:top w:w="28" w:type="dxa"/>
          <w:left w:w="28" w:type="dxa"/>
          <w:bottom w:w="28" w:type="dxa"/>
          <w:right w:w="28" w:type="dxa"/>
        </w:tblCellMar>
      </w:tblPr>
      <w:tblGrid>
        <w:gridCol w:w="2099"/>
        <w:gridCol w:w="13606"/>
      </w:tblGrid>
      <w:tr>
        <w:trPr/>
        <w:tc>
          <w:tcPr>
            <w:tcW w:w="15705" w:type="dxa"/>
            <w:gridSpan w:val="2"/>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b/>
                <w:bCs/>
                <w:sz w:val="22"/>
                <w:szCs w:val="22"/>
              </w:rPr>
              <w:t>Description</w:t>
            </w:r>
          </w:p>
        </w:tc>
      </w:tr>
      <w:tr>
        <w:trPr>
          <w:trHeight w:val="3969" w:hRule="exact"/>
        </w:trPr>
        <w:tc>
          <w:tcPr>
            <w:tcW w:w="2099" w:type="dxa"/>
            <w:tcBorders>
              <w:left w:val="single" w:sz="2" w:space="0" w:color="000000"/>
              <w:bottom w:val="single" w:sz="2" w:space="0" w:color="000000"/>
            </w:tcBorders>
            <w:vAlign w:val="center"/>
          </w:tcPr>
          <w:p>
            <w:pPr>
              <w:pStyle w:val="Normal"/>
              <w:rPr/>
            </w:pPr>
            <w:r>
              <w:rPr/>
            </w:r>
          </w:p>
          <w:p>
            <w:pPr>
              <w:pStyle w:val="Normal"/>
              <w:rPr/>
            </w:pPr>
            <w:r>
              <w:rPr/>
              <w:t>conformité aux normes béton /agglos</w:t>
            </w:r>
          </w:p>
        </w:tc>
        <w:tc>
          <w:tcPr>
            <w:tcW w:w="13606" w:type="dxa"/>
            <w:tcBorders>
              <w:left w:val="single" w:sz="2" w:space="0" w:color="000000"/>
              <w:bottom w:val="single" w:sz="2" w:space="0" w:color="000000"/>
              <w:right w:val="single" w:sz="2" w:space="0" w:color="000000"/>
            </w:tcBorders>
          </w:tcPr>
          <w:p>
            <w:pPr>
              <w:pStyle w:val="Contenudetableauuser"/>
              <w:widowControl w:val="false"/>
              <w:jc w:val="both"/>
              <w:rPr>
                <w:sz w:val="22"/>
                <w:szCs w:val="22"/>
              </w:rPr>
            </w:pPr>
            <w:r>
              <w:rPr>
                <w:sz w:val="22"/>
                <w:szCs w:val="22"/>
              </w:rPr>
            </w:r>
          </w:p>
          <w:p>
            <w:pPr>
              <w:pStyle w:val="Contenudetableauuser"/>
              <w:widowControl w:val="false"/>
              <w:jc w:val="both"/>
              <w:rPr>
                <w:sz w:val="22"/>
                <w:szCs w:val="22"/>
              </w:rPr>
            </w:pPr>
            <w:r>
              <w:rPr>
                <w:sz w:val="22"/>
                <w:szCs w:val="22"/>
              </w:rPr>
            </w:r>
          </w:p>
          <w:p>
            <w:pPr>
              <w:pStyle w:val="Contenudetableauuser"/>
              <w:widowControl w:val="false"/>
              <w:jc w:val="both"/>
              <w:rPr>
                <w:sz w:val="22"/>
                <w:szCs w:val="22"/>
              </w:rPr>
            </w:pPr>
            <w:r>
              <w:rPr>
                <w:sz w:val="22"/>
                <w:szCs w:val="22"/>
              </w:rPr>
            </w:r>
          </w:p>
          <w:p>
            <w:pPr>
              <w:pStyle w:val="Contenudetableauuser"/>
              <w:widowControl w:val="false"/>
              <w:jc w:val="both"/>
              <w:rPr>
                <w:sz w:val="22"/>
                <w:szCs w:val="22"/>
              </w:rPr>
            </w:pPr>
            <w:r>
              <w:rPr>
                <w:sz w:val="22"/>
                <w:szCs w:val="22"/>
              </w:rPr>
            </w:r>
          </w:p>
          <w:p>
            <w:pPr>
              <w:pStyle w:val="Contenudetableauuser"/>
              <w:widowControl w:val="false"/>
              <w:jc w:val="both"/>
              <w:rPr>
                <w:sz w:val="22"/>
                <w:szCs w:val="22"/>
              </w:rPr>
            </w:pPr>
            <w:r>
              <w:rPr>
                <w:sz w:val="22"/>
                <w:szCs w:val="22"/>
              </w:rPr>
            </w:r>
          </w:p>
          <w:p>
            <w:pPr>
              <w:pStyle w:val="Contenudetableauuser"/>
              <w:widowControl w:val="false"/>
              <w:ind w:hanging="0" w:left="0" w:right="57"/>
              <w:jc w:val="both"/>
              <w:rPr>
                <w:sz w:val="22"/>
                <w:szCs w:val="22"/>
              </w:rPr>
            </w:pPr>
            <w:r>
              <w:rPr>
                <w:sz w:val="22"/>
                <w:szCs w:val="22"/>
              </w:rPr>
            </w:r>
          </w:p>
        </w:tc>
      </w:tr>
      <w:tr>
        <w:trPr>
          <w:trHeight w:val="3969" w:hRule="exact"/>
        </w:trPr>
        <w:tc>
          <w:tcPr>
            <w:tcW w:w="2099" w:type="dxa"/>
            <w:tcBorders>
              <w:left w:val="single" w:sz="2" w:space="0" w:color="000000"/>
              <w:bottom w:val="single" w:sz="2" w:space="0" w:color="000000"/>
            </w:tcBorders>
            <w:vAlign w:val="center"/>
          </w:tcPr>
          <w:p>
            <w:pPr>
              <w:pStyle w:val="Normal"/>
              <w:rPr/>
            </w:pPr>
            <w:r>
              <w:rPr/>
              <w:t>garantie anticorrosion, durabilité</w:t>
            </w:r>
          </w:p>
        </w:tc>
        <w:tc>
          <w:tcPr>
            <w:tcW w:w="13606" w:type="dxa"/>
            <w:tcBorders>
              <w:left w:val="single" w:sz="2" w:space="0" w:color="000000"/>
              <w:bottom w:val="single" w:sz="2" w:space="0" w:color="000000"/>
              <w:right w:val="single" w:sz="2" w:space="0" w:color="000000"/>
            </w:tcBorders>
          </w:tcPr>
          <w:p>
            <w:pPr>
              <w:pStyle w:val="Contenudetableauuser"/>
              <w:widowControl w:val="false"/>
              <w:jc w:val="both"/>
              <w:rPr>
                <w:sz w:val="22"/>
                <w:szCs w:val="22"/>
              </w:rPr>
            </w:pPr>
            <w:r>
              <w:rPr>
                <w:sz w:val="22"/>
                <w:szCs w:val="22"/>
              </w:rPr>
            </w:r>
          </w:p>
        </w:tc>
      </w:tr>
    </w:tbl>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sz w:val="22"/>
          <w:szCs w:val="22"/>
          <w:u w:val="none"/>
        </w:rPr>
        <w:t>CQ 4 : Planning d’exécution proposé</w:t>
      </w:r>
      <w:r>
        <w:rPr>
          <w:rFonts w:cs="Times New Roman"/>
          <w:b/>
          <w:bCs/>
          <w:i w:val="false"/>
          <w:iCs w:val="false"/>
          <w:strike w:val="false"/>
          <w:dstrike w:val="false"/>
          <w:outline w:val="false"/>
          <w:shadow w:val="false"/>
          <w:color w:val="FFFFD7"/>
          <w:kern w:val="2"/>
          <w:sz w:val="22"/>
          <w:szCs w:val="22"/>
          <w:u w:val="none"/>
          <w:shd w:fill="auto" w:val="clear"/>
          <w:em w:val="none"/>
        </w:rPr>
        <w:t xml:space="preserve"> </w:t>
      </w:r>
      <w:r>
        <w:rPr>
          <w:rFonts w:cs="Times New Roman"/>
          <w:b/>
          <w:bCs/>
          <w:i w:val="false"/>
          <w:iCs w:val="false"/>
          <w:strike w:val="false"/>
          <w:dstrike w:val="false"/>
          <w:outline w:val="false"/>
          <w:shadow w:val="false"/>
          <w:color w:val="FFFFD7"/>
          <w:sz w:val="22"/>
          <w:szCs w:val="22"/>
          <w:u w:val="none"/>
        </w:rPr>
        <w:t xml:space="preserve"> → Coefficient 3</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775" w:type="dxa"/>
        <w:jc w:val="left"/>
        <w:tblInd w:w="16" w:type="dxa"/>
        <w:tblLayout w:type="fixed"/>
        <w:tblCellMar>
          <w:top w:w="28" w:type="dxa"/>
          <w:left w:w="28" w:type="dxa"/>
          <w:bottom w:w="28" w:type="dxa"/>
          <w:right w:w="28" w:type="dxa"/>
        </w:tblCellMar>
      </w:tblPr>
      <w:tblGrid>
        <w:gridCol w:w="2115"/>
        <w:gridCol w:w="13660"/>
      </w:tblGrid>
      <w:tr>
        <w:trPr/>
        <w:tc>
          <w:tcPr>
            <w:tcW w:w="15775" w:type="dxa"/>
            <w:gridSpan w:val="2"/>
            <w:tcBorders>
              <w:top w:val="single" w:sz="2" w:space="0" w:color="000000"/>
              <w:left w:val="single" w:sz="2" w:space="0" w:color="000000"/>
              <w:bottom w:val="single" w:sz="2" w:space="0" w:color="000000"/>
              <w:right w:val="single" w:sz="2" w:space="0" w:color="000000"/>
            </w:tcBorders>
            <w:shd w:fill="729FCF" w:val="clear"/>
          </w:tcPr>
          <w:p>
            <w:pPr>
              <w:pStyle w:val="Contenudetableauuser"/>
              <w:widowControl w:val="false"/>
              <w:jc w:val="center"/>
              <w:rPr>
                <w:b/>
                <w:bCs/>
                <w:sz w:val="22"/>
                <w:szCs w:val="22"/>
              </w:rPr>
            </w:pPr>
            <w:r>
              <w:rPr>
                <w:b/>
                <w:bCs/>
                <w:sz w:val="22"/>
                <w:szCs w:val="22"/>
              </w:rPr>
              <w:t>Description</w:t>
            </w:r>
          </w:p>
        </w:tc>
      </w:tr>
      <w:tr>
        <w:trPr>
          <w:trHeight w:val="3005" w:hRule="exact"/>
        </w:trPr>
        <w:tc>
          <w:tcPr>
            <w:tcW w:w="2115" w:type="dxa"/>
            <w:tcBorders>
              <w:left w:val="single" w:sz="2" w:space="0" w:color="000000"/>
              <w:bottom w:val="single" w:sz="2" w:space="0" w:color="000000"/>
            </w:tcBorders>
            <w:vAlign w:val="center"/>
          </w:tcPr>
          <w:p>
            <w:pPr>
              <w:pStyle w:val="Normal"/>
              <w:rPr/>
            </w:pPr>
            <w:r>
              <w:rPr/>
              <w:t>moyens mis en œuvre pour respecter le planning</w:t>
            </w:r>
          </w:p>
        </w:tc>
        <w:tc>
          <w:tcPr>
            <w:tcW w:w="13660" w:type="dxa"/>
            <w:tcBorders>
              <w:left w:val="single" w:sz="2" w:space="0" w:color="000000"/>
              <w:bottom w:val="single" w:sz="2" w:space="0" w:color="000000"/>
              <w:right w:val="single" w:sz="2" w:space="0" w:color="000000"/>
            </w:tcBorders>
          </w:tcPr>
          <w:p>
            <w:pPr>
              <w:pStyle w:val="Contenudetableauuser"/>
              <w:widowControl w:val="false"/>
              <w:ind w:hanging="0" w:left="0" w:right="57"/>
              <w:jc w:val="both"/>
              <w:rPr>
                <w:sz w:val="22"/>
                <w:szCs w:val="22"/>
              </w:rPr>
            </w:pPr>
            <w:r>
              <w:rPr>
                <w:sz w:val="22"/>
                <w:szCs w:val="22"/>
              </w:rPr>
            </w:r>
          </w:p>
        </w:tc>
      </w:tr>
      <w:tr>
        <w:trPr>
          <w:trHeight w:val="3005" w:hRule="exact"/>
        </w:trPr>
        <w:tc>
          <w:tcPr>
            <w:tcW w:w="2115" w:type="dxa"/>
            <w:tcBorders>
              <w:left w:val="single" w:sz="2" w:space="0" w:color="000000"/>
              <w:bottom w:val="single" w:sz="2" w:space="0" w:color="000000"/>
            </w:tcBorders>
            <w:vAlign w:val="center"/>
          </w:tcPr>
          <w:p>
            <w:pPr>
              <w:pStyle w:val="Normal"/>
              <w:rPr>
                <w:rFonts w:eastAsia="Wingdings" w:cs="Arial"/>
                <w:color w:val="111111"/>
              </w:rPr>
            </w:pPr>
            <w:r>
              <w:rPr>
                <w:rFonts w:eastAsia="Wingdings" w:cs="Arial"/>
                <w:color w:val="111111"/>
              </w:rPr>
              <w:t>organisation de la planification</w:t>
            </w:r>
          </w:p>
        </w:tc>
        <w:tc>
          <w:tcPr>
            <w:tcW w:w="13660" w:type="dxa"/>
            <w:tcBorders>
              <w:left w:val="single" w:sz="2" w:space="0" w:color="000000"/>
              <w:bottom w:val="single" w:sz="2" w:space="0" w:color="000000"/>
              <w:right w:val="single" w:sz="2" w:space="0" w:color="000000"/>
            </w:tcBorders>
          </w:tcPr>
          <w:p>
            <w:pPr>
              <w:pStyle w:val="Contenudetableauuser"/>
              <w:widowControl w:val="false"/>
              <w:jc w:val="both"/>
              <w:rPr>
                <w:sz w:val="22"/>
                <w:szCs w:val="22"/>
              </w:rPr>
            </w:pPr>
            <w:r>
              <w:rPr>
                <w:sz w:val="22"/>
                <w:szCs w:val="22"/>
              </w:rPr>
            </w:r>
          </w:p>
        </w:tc>
      </w:tr>
      <w:tr>
        <w:trPr>
          <w:trHeight w:val="3005" w:hRule="exact"/>
        </w:trPr>
        <w:tc>
          <w:tcPr>
            <w:tcW w:w="2115" w:type="dxa"/>
            <w:tcBorders>
              <w:left w:val="single" w:sz="2" w:space="0" w:color="000000"/>
              <w:bottom w:val="single" w:sz="2" w:space="0" w:color="000000"/>
            </w:tcBorders>
            <w:vAlign w:val="center"/>
          </w:tcPr>
          <w:p>
            <w:pPr>
              <w:pStyle w:val="Normal"/>
              <w:rPr>
                <w:rFonts w:eastAsia="Wingdings" w:cs="Arial"/>
                <w:color w:val="111111"/>
              </w:rPr>
            </w:pPr>
            <w:r>
              <w:rPr>
                <w:rFonts w:eastAsia="Wingdings" w:cs="Arial"/>
                <w:color w:val="111111"/>
              </w:rPr>
            </w:r>
          </w:p>
          <w:p>
            <w:pPr>
              <w:pStyle w:val="Normal"/>
              <w:rPr>
                <w:rFonts w:eastAsia="Wingdings" w:cs="Arial"/>
                <w:color w:val="111111"/>
              </w:rPr>
            </w:pPr>
            <w:r>
              <w:rPr>
                <w:rFonts w:eastAsia="Wingdings" w:cs="Arial"/>
                <w:color w:val="111111"/>
              </w:rPr>
              <w:t>G</w:t>
            </w:r>
            <w:r>
              <w:rPr>
                <w:rFonts w:eastAsia="Wingdings" w:cs="Arial"/>
                <w:color w:val="111111"/>
              </w:rPr>
              <w:t>estion des aléas et risques</w:t>
            </w:r>
          </w:p>
        </w:tc>
        <w:tc>
          <w:tcPr>
            <w:tcW w:w="13660" w:type="dxa"/>
            <w:tcBorders>
              <w:left w:val="single" w:sz="2" w:space="0" w:color="000000"/>
              <w:bottom w:val="single" w:sz="2" w:space="0" w:color="000000"/>
              <w:right w:val="single" w:sz="2" w:space="0" w:color="000000"/>
            </w:tcBorders>
          </w:tcPr>
          <w:p>
            <w:pPr>
              <w:pStyle w:val="Contenudetableauuser"/>
              <w:widowControl w:val="false"/>
              <w:jc w:val="both"/>
              <w:rPr>
                <w:sz w:val="22"/>
                <w:szCs w:val="22"/>
              </w:rPr>
            </w:pPr>
            <w:r>
              <w:rPr>
                <w:sz w:val="22"/>
                <w:szCs w:val="22"/>
              </w:rPr>
            </w:r>
          </w:p>
        </w:tc>
      </w:tr>
    </w:tbl>
    <w:p>
      <w:pPr>
        <w:pStyle w:val="Normal"/>
        <w:rPr>
          <w:sz w:val="22"/>
          <w:szCs w:val="22"/>
        </w:rPr>
      </w:pPr>
      <w:r>
        <w:rPr>
          <w:sz w:val="22"/>
          <w:szCs w:val="22"/>
        </w:rPr>
      </w:r>
    </w:p>
    <w:sectPr>
      <w:headerReference w:type="even" r:id="rId22"/>
      <w:headerReference w:type="default" r:id="rId23"/>
      <w:headerReference w:type="first" r:id="rId24"/>
      <w:footerReference w:type="even" r:id="rId25"/>
      <w:footerReference w:type="default" r:id="rId26"/>
      <w:footerReference w:type="first" r:id="rId27"/>
      <w:type w:val="nextPage"/>
      <w:pgSz w:orient="landscape" w:w="16838" w:h="11906"/>
      <w:pgMar w:left="567" w:right="567" w:gutter="0" w:header="0" w:top="567" w:footer="567" w:bottom="110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arianne">
    <w:charset w:val="01"/>
    <w:family w:val="roman"/>
    <w:pitch w:val="default"/>
  </w:font>
  <w:font w:name="Liberation Serif">
    <w:altName w:val="Times New Roman"/>
    <w:charset w:val="01"/>
    <w:family w:val="roman"/>
    <w:pitch w:val="default"/>
  </w:font>
  <w:font w:name="OpenSymbol">
    <w:altName w:val="Arial Unicode MS"/>
    <w:charset w:val="01"/>
    <w:family w:val="roman"/>
    <w:pitch w:val="default"/>
  </w:font>
  <w:font w:name="Wingdings">
    <w:charset w:val="01"/>
    <w:family w:val="roman"/>
    <w:pitch w:val="default"/>
  </w:font>
  <w:font w:name="Courier New">
    <w:charset w:val="01"/>
    <w:family w:val="roman"/>
    <w:pitch w:val="default"/>
  </w:font>
  <w:font w:name="Symbol">
    <w:charset w:val="01"/>
    <w:family w:val="roman"/>
    <w:pitch w:val="default"/>
  </w:font>
  <w:font w:name="Liberation Sans">
    <w:altName w:val="Arial"/>
    <w:charset w:val="01"/>
    <w:family w:val="roman"/>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Normal"/>
      <w:rPr>
        <w:sz w:val="4"/>
        <w:szCs w:val="4"/>
      </w:rPr>
    </w:pPr>
    <w:r>
      <w:rPr>
        <w:sz w:val="4"/>
        <w:szCs w:val="4"/>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6</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Normal"/>
      <w:rPr>
        <w:sz w:val="4"/>
        <w:szCs w:val="4"/>
      </w:rPr>
    </w:pPr>
    <w:r>
      <w:rPr>
        <w:sz w:val="4"/>
        <w:szCs w:val="4"/>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6</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Normal"/>
      <w:rPr>
        <w:sz w:val="4"/>
        <w:szCs w:val="4"/>
      </w:rPr>
    </w:pPr>
    <w:r>
      <w:rPr>
        <w:sz w:val="4"/>
        <w:szCs w:val="4"/>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2" w:space="1" w:color="000000"/>
      </w:pBdr>
      <w:ind w:hanging="0" w:left="0" w:right="57"/>
      <w:rPr>
        <w:sz w:val="4"/>
        <w:szCs w:val="4"/>
      </w:rPr>
    </w:pPr>
    <w:r>
      <w:rPr>
        <w:sz w:val="4"/>
        <w:szCs w:val="4"/>
      </w:rPr>
    </w:r>
  </w:p>
  <w:tbl>
    <w:tblPr>
      <w:tblW w:w="10665" w:type="dxa"/>
      <w:jc w:val="left"/>
      <w:tblInd w:w="170" w:type="dxa"/>
      <w:tblLayout w:type="fixed"/>
      <w:tblCellMar>
        <w:top w:w="55" w:type="dxa"/>
        <w:left w:w="55" w:type="dxa"/>
        <w:bottom w:w="55" w:type="dxa"/>
        <w:right w:w="55" w:type="dxa"/>
      </w:tblCellMar>
    </w:tblPr>
    <w:tblGrid>
      <w:gridCol w:w="3579"/>
      <w:gridCol w:w="3595"/>
      <w:gridCol w:w="3491"/>
    </w:tblGrid>
    <w:tr>
      <w:trPr/>
      <w:tc>
        <w:tcPr>
          <w:tcW w:w="3579" w:type="dxa"/>
          <w:tcBorders>
            <w:top w:val="single" w:sz="4" w:space="0" w:color="000000"/>
            <w:left w:val="single" w:sz="4" w:space="0" w:color="000000"/>
            <w:bottom w:val="single" w:sz="4" w:space="0" w:color="000000"/>
          </w:tcBorders>
          <w:shd w:fill="FFFFFF" w:val="clear"/>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3595" w:type="dxa"/>
          <w:tcBorders>
            <w:top w:val="single" w:sz="4" w:space="0" w:color="000000"/>
            <w:left w:val="single" w:sz="4" w:space="0" w:color="000000"/>
            <w:bottom w:val="single" w:sz="4" w:space="0" w:color="000000"/>
          </w:tcBorders>
          <w:shd w:fill="FFFFFF" w:val="clear"/>
        </w:tcPr>
        <w:p>
          <w:pPr>
            <w:pStyle w:val="Footer"/>
            <w:widowControl w:val="false"/>
            <w:ind w:hanging="0" w:left="0" w:right="57"/>
            <w:jc w:val="left"/>
            <w:rPr>
              <w:sz w:val="20"/>
              <w:szCs w:val="20"/>
              <w:highlight w:val="none"/>
              <w:shd w:fill="auto" w:val="clear"/>
            </w:rPr>
          </w:pPr>
          <w:r>
            <w:rPr>
              <w:sz w:val="20"/>
              <w:szCs w:val="20"/>
              <w:shd w:fill="auto" w:val="clear"/>
            </w:rPr>
          </w:r>
        </w:p>
      </w:tc>
      <w:tc>
        <w:tcPr>
          <w:tcW w:w="3491" w:type="dxa"/>
          <w:tcBorders>
            <w:top w:val="single" w:sz="4" w:space="0" w:color="000000"/>
            <w:left w:val="single" w:sz="4" w:space="0" w:color="000000"/>
            <w:bottom w:val="single" w:sz="4" w:space="0" w:color="000000"/>
            <w:right w:val="single" w:sz="4" w:space="0" w:color="000000"/>
          </w:tcBorders>
          <w:shd w:fill="FFFFFF" w:val="clear"/>
        </w:tcPr>
        <w:p>
          <w:pPr>
            <w:pStyle w:val="Footer"/>
            <w:widowControl w:val="false"/>
            <w:ind w:hanging="0" w:left="0" w:right="57"/>
            <w:jc w:val="center"/>
            <w:rPr>
              <w:highlight w:val="none"/>
              <w:shd w:fill="auto" w:val="clear"/>
            </w:rPr>
          </w:pPr>
          <w:r>
            <w:rPr>
              <w:sz w:val="20"/>
              <w:szCs w:val="20"/>
              <w:shd w:fill="auto" w:val="clear"/>
            </w:rPr>
            <w:t xml:space="preserve">Page </w:t>
          </w:r>
          <w:r>
            <w:rPr>
              <w:sz w:val="20"/>
              <w:szCs w:val="20"/>
              <w:shd w:fill="auto" w:val="clear"/>
            </w:rPr>
            <w:fldChar w:fldCharType="begin"/>
          </w:r>
          <w:r>
            <w:rPr>
              <w:sz w:val="20"/>
              <w:szCs w:val="20"/>
              <w:shd w:fill="auto" w:val="clear"/>
            </w:rPr>
            <w:instrText xml:space="preserve"> PAGE </w:instrText>
          </w:r>
          <w:r>
            <w:rPr>
              <w:sz w:val="20"/>
              <w:szCs w:val="20"/>
              <w:shd w:fill="auto" w:val="clear"/>
            </w:rPr>
            <w:fldChar w:fldCharType="separate"/>
          </w:r>
          <w:r>
            <w:rPr>
              <w:sz w:val="20"/>
              <w:szCs w:val="20"/>
              <w:shd w:fill="auto" w:val="clear"/>
            </w:rPr>
            <w:t>1</w:t>
          </w:r>
          <w:r>
            <w:rPr>
              <w:sz w:val="20"/>
              <w:szCs w:val="20"/>
              <w:shd w:fill="auto" w:val="clear"/>
            </w:rPr>
            <w:fldChar w:fldCharType="end"/>
          </w:r>
          <w:r>
            <w:rPr>
              <w:sz w:val="20"/>
              <w:szCs w:val="20"/>
              <w:shd w:fill="auto" w:val="clear"/>
            </w:rPr>
            <w:t xml:space="preserve"> sur </w:t>
          </w:r>
          <w:r>
            <w:rPr>
              <w:sz w:val="20"/>
              <w:szCs w:val="20"/>
              <w:shd w:fill="auto" w:val="clear"/>
            </w:rPr>
            <w:fldChar w:fldCharType="begin"/>
          </w:r>
          <w:r>
            <w:rPr>
              <w:sz w:val="20"/>
              <w:szCs w:val="20"/>
              <w:shd w:fill="auto" w:val="clear"/>
            </w:rPr>
            <w:instrText xml:space="preserve"> NUMPAGES </w:instrText>
          </w:r>
          <w:r>
            <w:rPr>
              <w:sz w:val="20"/>
              <w:szCs w:val="20"/>
              <w:shd w:fill="auto" w:val="clear"/>
            </w:rPr>
            <w:fldChar w:fldCharType="separate"/>
          </w:r>
          <w:r>
            <w:rPr>
              <w:sz w:val="20"/>
              <w:szCs w:val="20"/>
              <w:shd w:fill="auto" w:val="clear"/>
            </w:rPr>
            <w:t>6</w:t>
          </w:r>
          <w:r>
            <w:rPr>
              <w:sz w:val="20"/>
              <w:szCs w:val="20"/>
              <w:shd w:fill="auto" w:val="clear"/>
            </w:rPr>
            <w:fldChar w:fldCharType="end"/>
          </w:r>
        </w:p>
      </w:tc>
    </w:tr>
  </w:tbl>
  <w:p>
    <w:pPr>
      <w:pStyle w:val="Normal"/>
      <w:rPr>
        <w:sz w:val="4"/>
        <w:szCs w:val="4"/>
      </w:rPr>
    </w:pPr>
    <w:r>
      <w:rPr>
        <w:sz w:val="4"/>
        <w:szCs w:val="4"/>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2" w:space="1" w:color="000000"/>
      </w:pBdr>
      <w:ind w:hanging="0" w:left="0" w:right="57"/>
      <w:rPr>
        <w:sz w:val="4"/>
        <w:szCs w:val="4"/>
      </w:rPr>
    </w:pPr>
    <w:r>
      <w:rPr>
        <w:sz w:val="4"/>
        <w:szCs w:val="4"/>
      </w:rPr>
    </w:r>
  </w:p>
  <w:tbl>
    <w:tblPr>
      <w:tblW w:w="10665" w:type="dxa"/>
      <w:jc w:val="left"/>
      <w:tblInd w:w="170" w:type="dxa"/>
      <w:tblLayout w:type="fixed"/>
      <w:tblCellMar>
        <w:top w:w="55" w:type="dxa"/>
        <w:left w:w="55" w:type="dxa"/>
        <w:bottom w:w="55" w:type="dxa"/>
        <w:right w:w="55" w:type="dxa"/>
      </w:tblCellMar>
    </w:tblPr>
    <w:tblGrid>
      <w:gridCol w:w="3579"/>
      <w:gridCol w:w="3595"/>
      <w:gridCol w:w="3491"/>
    </w:tblGrid>
    <w:tr>
      <w:trPr/>
      <w:tc>
        <w:tcPr>
          <w:tcW w:w="3579" w:type="dxa"/>
          <w:tcBorders>
            <w:top w:val="single" w:sz="4" w:space="0" w:color="000000"/>
            <w:left w:val="single" w:sz="4" w:space="0" w:color="000000"/>
            <w:bottom w:val="single" w:sz="4" w:space="0" w:color="000000"/>
          </w:tcBorders>
          <w:shd w:fill="FFFFFF" w:val="clear"/>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3595" w:type="dxa"/>
          <w:tcBorders>
            <w:top w:val="single" w:sz="4" w:space="0" w:color="000000"/>
            <w:left w:val="single" w:sz="4" w:space="0" w:color="000000"/>
            <w:bottom w:val="single" w:sz="4" w:space="0" w:color="000000"/>
          </w:tcBorders>
          <w:shd w:fill="FFFFFF" w:val="clear"/>
        </w:tcPr>
        <w:p>
          <w:pPr>
            <w:pStyle w:val="Footer"/>
            <w:widowControl w:val="false"/>
            <w:ind w:hanging="0" w:left="0" w:right="57"/>
            <w:jc w:val="left"/>
            <w:rPr>
              <w:sz w:val="20"/>
              <w:szCs w:val="20"/>
              <w:highlight w:val="none"/>
              <w:shd w:fill="auto" w:val="clear"/>
            </w:rPr>
          </w:pPr>
          <w:r>
            <w:rPr>
              <w:sz w:val="20"/>
              <w:szCs w:val="20"/>
              <w:shd w:fill="auto" w:val="clear"/>
            </w:rPr>
          </w:r>
        </w:p>
      </w:tc>
      <w:tc>
        <w:tcPr>
          <w:tcW w:w="3491" w:type="dxa"/>
          <w:tcBorders>
            <w:top w:val="single" w:sz="4" w:space="0" w:color="000000"/>
            <w:left w:val="single" w:sz="4" w:space="0" w:color="000000"/>
            <w:bottom w:val="single" w:sz="4" w:space="0" w:color="000000"/>
            <w:right w:val="single" w:sz="4" w:space="0" w:color="000000"/>
          </w:tcBorders>
          <w:shd w:fill="FFFFFF" w:val="clear"/>
        </w:tcPr>
        <w:p>
          <w:pPr>
            <w:pStyle w:val="Footer"/>
            <w:widowControl w:val="false"/>
            <w:ind w:hanging="0" w:left="0" w:right="57"/>
            <w:jc w:val="center"/>
            <w:rPr>
              <w:highlight w:val="none"/>
              <w:shd w:fill="auto" w:val="clear"/>
            </w:rPr>
          </w:pPr>
          <w:r>
            <w:rPr>
              <w:sz w:val="20"/>
              <w:szCs w:val="20"/>
              <w:shd w:fill="auto" w:val="clear"/>
            </w:rPr>
            <w:t xml:space="preserve">Page </w:t>
          </w:r>
          <w:r>
            <w:rPr>
              <w:sz w:val="20"/>
              <w:szCs w:val="20"/>
              <w:shd w:fill="auto" w:val="clear"/>
            </w:rPr>
            <w:fldChar w:fldCharType="begin"/>
          </w:r>
          <w:r>
            <w:rPr>
              <w:sz w:val="20"/>
              <w:szCs w:val="20"/>
              <w:shd w:fill="auto" w:val="clear"/>
            </w:rPr>
            <w:instrText xml:space="preserve"> PAGE </w:instrText>
          </w:r>
          <w:r>
            <w:rPr>
              <w:sz w:val="20"/>
              <w:szCs w:val="20"/>
              <w:shd w:fill="auto" w:val="clear"/>
            </w:rPr>
            <w:fldChar w:fldCharType="separate"/>
          </w:r>
          <w:r>
            <w:rPr>
              <w:sz w:val="20"/>
              <w:szCs w:val="20"/>
              <w:shd w:fill="auto" w:val="clear"/>
            </w:rPr>
            <w:t>1</w:t>
          </w:r>
          <w:r>
            <w:rPr>
              <w:sz w:val="20"/>
              <w:szCs w:val="20"/>
              <w:shd w:fill="auto" w:val="clear"/>
            </w:rPr>
            <w:fldChar w:fldCharType="end"/>
          </w:r>
          <w:r>
            <w:rPr>
              <w:sz w:val="20"/>
              <w:szCs w:val="20"/>
              <w:shd w:fill="auto" w:val="clear"/>
            </w:rPr>
            <w:t xml:space="preserve"> sur </w:t>
          </w:r>
          <w:r>
            <w:rPr>
              <w:sz w:val="20"/>
              <w:szCs w:val="20"/>
              <w:shd w:fill="auto" w:val="clear"/>
            </w:rPr>
            <w:fldChar w:fldCharType="begin"/>
          </w:r>
          <w:r>
            <w:rPr>
              <w:sz w:val="20"/>
              <w:szCs w:val="20"/>
              <w:shd w:fill="auto" w:val="clear"/>
            </w:rPr>
            <w:instrText xml:space="preserve"> NUMPAGES </w:instrText>
          </w:r>
          <w:r>
            <w:rPr>
              <w:sz w:val="20"/>
              <w:szCs w:val="20"/>
              <w:shd w:fill="auto" w:val="clear"/>
            </w:rPr>
            <w:fldChar w:fldCharType="separate"/>
          </w:r>
          <w:r>
            <w:rPr>
              <w:sz w:val="20"/>
              <w:szCs w:val="20"/>
              <w:shd w:fill="auto" w:val="clear"/>
            </w:rPr>
            <w:t>6</w:t>
          </w:r>
          <w:r>
            <w:rPr>
              <w:sz w:val="20"/>
              <w:szCs w:val="20"/>
              <w:shd w:fill="auto" w:val="clear"/>
            </w:rPr>
            <w:fldChar w:fldCharType="end"/>
          </w:r>
        </w:p>
      </w:tc>
    </w:tr>
  </w:tbl>
  <w:p>
    <w:pPr>
      <w:pStyle w:val="Normal"/>
      <w:rPr>
        <w:sz w:val="4"/>
        <w:szCs w:val="4"/>
      </w:rPr>
    </w:pPr>
    <w:r>
      <w:rPr>
        <w:sz w:val="4"/>
        <w:szCs w:val="4"/>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123" w:type="dxa"/>
      <w:jc w:val="left"/>
      <w:tblInd w:w="-249" w:type="dxa"/>
      <w:tblLayout w:type="fixed"/>
      <w:tblCellMar>
        <w:top w:w="55" w:type="dxa"/>
        <w:left w:w="55" w:type="dxa"/>
        <w:bottom w:w="55" w:type="dxa"/>
        <w:right w:w="55" w:type="dxa"/>
      </w:tblCellMar>
    </w:tblPr>
    <w:tblGrid>
      <w:gridCol w:w="5649"/>
      <w:gridCol w:w="5237"/>
      <w:gridCol w:w="5237"/>
    </w:tblGrid>
    <w:tr>
      <w:trPr/>
      <w:tc>
        <w:tcPr>
          <w:tcW w:w="564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7"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37"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3</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123" w:type="dxa"/>
      <w:jc w:val="left"/>
      <w:tblInd w:w="-249" w:type="dxa"/>
      <w:tblLayout w:type="fixed"/>
      <w:tblCellMar>
        <w:top w:w="55" w:type="dxa"/>
        <w:left w:w="55" w:type="dxa"/>
        <w:bottom w:w="55" w:type="dxa"/>
        <w:right w:w="55" w:type="dxa"/>
      </w:tblCellMar>
    </w:tblPr>
    <w:tblGrid>
      <w:gridCol w:w="5649"/>
      <w:gridCol w:w="5237"/>
      <w:gridCol w:w="5237"/>
    </w:tblGrid>
    <w:tr>
      <w:trPr/>
      <w:tc>
        <w:tcPr>
          <w:tcW w:w="564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7"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37"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3</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SGC974-SIAP-2026-02</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6</w:t>
          </w:r>
          <w:r>
            <w:rPr>
              <w:sz w:val="16"/>
              <w:szCs w:val="16"/>
            </w:rPr>
            <w:fldChar w:fldCharType="end"/>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2" w:space="1" w:color="000000"/>
      </w:pBdr>
      <w:tabs>
        <w:tab w:val="clear" w:pos="4819"/>
        <w:tab w:val="clear" w:pos="9638"/>
      </w:tabs>
      <w:snapToGrid w:val="false"/>
      <w:spacing w:before="0" w:after="0"/>
      <w:ind w:hanging="0" w:left="-91" w:right="-10"/>
      <w:jc w:val="right"/>
      <w:rPr/>
    </w:pPr>
    <w:r>
      <w:rPr>
        <w:rFonts w:eastAsia="SimSun" w:cs="Mangal"/>
        <w:b w:val="false"/>
        <w:bCs w:val="false"/>
        <w:i/>
        <w:iCs/>
        <w:color w:val="000000"/>
        <w:kern w:val="2"/>
        <w:sz w:val="14"/>
        <w:szCs w:val="14"/>
        <w:lang w:val="fr-FR" w:eastAsia="zh-CN" w:bidi="hi-IN"/>
      </w:rPr>
      <w:t>Travaux pour la sécurisation de l’enceinte de la sous-préfecture de Saint-Benoît </w:t>
    </w:r>
    <w:r>
      <w:rPr>
        <w:rFonts w:eastAsia="Times New Roman" w:cs="Marianne" w:ascii="Marianne" w:hAnsi="Marianne"/>
        <w:b w:val="false"/>
        <w:bCs w:val="false"/>
        <w:i/>
        <w:iCs/>
        <w:caps w:val="false"/>
        <w:smallCaps w:val="false"/>
        <w:color w:val="000000"/>
        <w:kern w:val="2"/>
        <w:sz w:val="14"/>
        <w:szCs w:val="14"/>
        <w:lang w:val="fr-FR" w:eastAsia="zh-CN" w:bidi="hi-IN"/>
      </w:rPr>
      <w:t>:</w:t>
    </w:r>
    <w:r>
      <w:rPr>
        <w:rFonts w:eastAsia="SimSun" w:cs="Marianne" w:ascii="Marianne" w:hAnsi="Marianne"/>
        <w:b w:val="false"/>
        <w:bCs w:val="false"/>
        <w:i/>
        <w:iCs/>
        <w:caps w:val="false"/>
        <w:smallCaps w:val="false"/>
        <w:color w:val="000000"/>
        <w:kern w:val="2"/>
        <w:sz w:val="14"/>
        <w:szCs w:val="14"/>
        <w:lang w:val="fr-FR" w:eastAsia="zh-CN" w:bidi="hi-IN"/>
      </w:rPr>
      <w:t xml:space="preserve"> </w:t>
    </w:r>
    <w:r>
      <w:rPr>
        <w:b w:val="false"/>
        <w:bCs w:val="false"/>
        <w:i/>
        <w:iCs/>
        <w:color w:val="000000"/>
        <w:sz w:val="14"/>
        <w:szCs w:val="14"/>
      </w:rPr>
      <w:t xml:space="preserve"> Annexe 1 du RC</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2" w:space="1" w:color="000000"/>
      </w:pBdr>
      <w:tabs>
        <w:tab w:val="clear" w:pos="4819"/>
        <w:tab w:val="clear" w:pos="9638"/>
      </w:tabs>
      <w:snapToGrid w:val="false"/>
      <w:spacing w:before="0" w:after="0"/>
      <w:ind w:hanging="0" w:left="-91" w:right="-10"/>
      <w:jc w:val="right"/>
      <w:rPr/>
    </w:pPr>
    <w:r>
      <w:rPr>
        <w:rFonts w:eastAsia="SimSun" w:cs="Mangal"/>
        <w:b w:val="false"/>
        <w:bCs w:val="false"/>
        <w:i/>
        <w:iCs/>
        <w:color w:val="000000"/>
        <w:kern w:val="2"/>
        <w:sz w:val="14"/>
        <w:szCs w:val="14"/>
        <w:lang w:val="fr-FR" w:eastAsia="zh-CN" w:bidi="hi-IN"/>
      </w:rPr>
      <w:t>Travaux pour la sécurisation de l’enceinte de la sous-préfecture de Saint-Benoît </w:t>
    </w:r>
    <w:r>
      <w:rPr>
        <w:rFonts w:eastAsia="Times New Roman" w:cs="Marianne" w:ascii="Marianne" w:hAnsi="Marianne"/>
        <w:b w:val="false"/>
        <w:bCs w:val="false"/>
        <w:i/>
        <w:iCs/>
        <w:caps w:val="false"/>
        <w:smallCaps w:val="false"/>
        <w:color w:val="000000"/>
        <w:kern w:val="2"/>
        <w:sz w:val="14"/>
        <w:szCs w:val="14"/>
        <w:lang w:val="fr-FR" w:eastAsia="zh-CN" w:bidi="hi-IN"/>
      </w:rPr>
      <w:t>:</w:t>
    </w:r>
    <w:r>
      <w:rPr>
        <w:rFonts w:eastAsia="SimSun" w:cs="Marianne" w:ascii="Marianne" w:hAnsi="Marianne"/>
        <w:b w:val="false"/>
        <w:bCs w:val="false"/>
        <w:i/>
        <w:iCs/>
        <w:caps w:val="false"/>
        <w:smallCaps w:val="false"/>
        <w:color w:val="000000"/>
        <w:kern w:val="2"/>
        <w:sz w:val="14"/>
        <w:szCs w:val="14"/>
        <w:lang w:val="fr-FR" w:eastAsia="zh-CN" w:bidi="hi-IN"/>
      </w:rPr>
      <w:t xml:space="preserve"> </w:t>
    </w:r>
    <w:r>
      <w:rPr>
        <w:b w:val="false"/>
        <w:bCs w:val="false"/>
        <w:i/>
        <w:iCs/>
        <w:color w:val="000000"/>
        <w:sz w:val="14"/>
        <w:szCs w:val="14"/>
      </w:rPr>
      <w:t xml:space="preserve"> Annexe 1 du RC</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defaultTabStop w:val="709"/>
  <w:autoHyphenation w:val="true"/>
  <w:hyphenationZone w:val="360"/>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Segoe UI" w:cs="Arial Unicode MS"/>
        <w:sz w:val="24"/>
        <w:szCs w:val="24"/>
        <w:lang w:val="fr-FR" w:eastAsia="zxx" w:bidi="hi-IN"/>
      </w:rPr>
    </w:rPrDefault>
    <w:pPrDefault>
      <w:pPr>
        <w:suppressAutoHyphens w:val="true"/>
      </w:pPr>
    </w:pPrDefault>
  </w:docDefaults>
  <w:style w:type="paragraph" w:styleId="Normal">
    <w:name w:val="Normal"/>
    <w:qFormat/>
    <w:pPr>
      <w:widowControl/>
      <w:suppressAutoHyphens w:val="true"/>
      <w:overflowPunct w:val="true"/>
      <w:bidi w:val="0"/>
      <w:snapToGrid w:val="false"/>
      <w:spacing w:before="0" w:after="0"/>
      <w:ind w:hanging="0" w:left="57" w:right="57"/>
      <w:jc w:val="both"/>
    </w:pPr>
    <w:rPr>
      <w:rFonts w:ascii="Liberation Serif;Times New Roman" w:hAnsi="Liberation Serif;Times New Roman" w:eastAsia="SimSun" w:cs="Mangal"/>
      <w:color w:val="auto"/>
      <w:kern w:val="2"/>
      <w:sz w:val="22"/>
      <w:szCs w:val="22"/>
      <w:lang w:val="fr-FR" w:eastAsia="zh-CN" w:bidi="hi-IN"/>
    </w:rPr>
  </w:style>
  <w:style w:type="paragraph" w:styleId="Heading1">
    <w:name w:val="heading 1"/>
    <w:basedOn w:val="Titreuser"/>
    <w:next w:val="BodyText"/>
    <w:qFormat/>
    <w:pPr>
      <w:numPr>
        <w:ilvl w:val="0"/>
        <w:numId w:val="1"/>
      </w:numPr>
      <w:snapToGrid w:val="false"/>
      <w:spacing w:before="0" w:after="0"/>
      <w:ind w:hanging="0" w:left="57" w:right="57"/>
      <w:jc w:val="both"/>
      <w:outlineLvl w:val="0"/>
    </w:pPr>
    <w:rPr>
      <w:b w:val="false"/>
      <w:bCs w:val="false"/>
      <w:sz w:val="22"/>
      <w:szCs w:val="22"/>
    </w:rPr>
  </w:style>
  <w:style w:type="paragraph" w:styleId="Heading2">
    <w:name w:val="heading 2"/>
    <w:basedOn w:val="Titreuser"/>
    <w:next w:val="BodyText"/>
    <w:qFormat/>
    <w:pPr>
      <w:numPr>
        <w:ilvl w:val="1"/>
        <w:numId w:val="1"/>
      </w:numPr>
      <w:spacing w:before="200" w:after="120"/>
      <w:ind w:hanging="0" w:left="57"/>
      <w:outlineLvl w:val="1"/>
    </w:pPr>
    <w:rPr>
      <w:b/>
      <w:bCs/>
      <w:sz w:val="21"/>
      <w:szCs w:val="32"/>
    </w:rPr>
  </w:style>
  <w:style w:type="paragraph" w:styleId="Heading3">
    <w:name w:val="heading 3"/>
    <w:basedOn w:val="Titreuser"/>
    <w:next w:val="BodyText"/>
    <w:qFormat/>
    <w:pPr>
      <w:numPr>
        <w:ilvl w:val="2"/>
        <w:numId w:val="1"/>
      </w:numPr>
      <w:outlineLvl w:val="2"/>
    </w:pPr>
    <w:rPr/>
  </w:style>
  <w:style w:type="character" w:styleId="InternetLink">
    <w:name w:val="Internet Link"/>
    <w:qFormat/>
    <w:rPr>
      <w:color w:val="000080"/>
      <w:u w:val="single"/>
      <w:lang w:val="zxx" w:eastAsia="zxx" w:bidi="zxx"/>
    </w:rPr>
  </w:style>
  <w:style w:type="character" w:styleId="Caractresdenumrotationuser">
    <w:name w:val="Caractères de numérotation (user)"/>
    <w:qFormat/>
    <w:rPr/>
  </w:style>
  <w:style w:type="character" w:styleId="Pucesuser">
    <w:name w:val="Puces (user)"/>
    <w:qFormat/>
    <w:rPr>
      <w:rFonts w:ascii="OpenSymbol;Arial Unicode MS" w:hAnsi="OpenSymbol;Arial Unicode MS" w:eastAsia="OpenSymbol;Arial Unicode MS" w:cs="OpenSymbol;Arial Unicode MS"/>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23z0">
    <w:name w:val="WW8Num23z0"/>
    <w:qFormat/>
    <w:rPr>
      <w:rFonts w:ascii="Wingdings" w:hAnsi="Wingdings" w:cs="Wingdings"/>
      <w:color w:val="000000"/>
    </w:rPr>
  </w:style>
  <w:style w:type="character" w:styleId="WW8Num23z1">
    <w:name w:val="WW8Num23z1"/>
    <w:qFormat/>
    <w:rPr>
      <w:rFonts w:ascii="Courier New" w:hAnsi="Courier New" w:cs="Courier New"/>
      <w:color w:val="000000"/>
    </w:rPr>
  </w:style>
  <w:style w:type="character" w:styleId="WW8Num23z3">
    <w:name w:val="WW8Num23z3"/>
    <w:qFormat/>
    <w:rPr>
      <w:rFonts w:ascii="Symbol" w:hAnsi="Symbol" w:cs="Symbol"/>
    </w:rPr>
  </w:style>
  <w:style w:type="character" w:styleId="WW8Num2z0">
    <w:name w:val="WW8Num2z0"/>
    <w:qFormat/>
    <w:rPr>
      <w:rFonts w:ascii="Wingdings" w:hAnsi="Wingdings" w:cs="Wingdings"/>
      <w:color w:val="000000"/>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Character20style">
    <w:name w:val="Character_20_style"/>
    <w:qFormat/>
    <w:rPr/>
  </w:style>
  <w:style w:type="character" w:styleId="Policepardfaut">
    <w:name w:val="Police par défaut"/>
    <w:qFormat/>
    <w:rPr/>
  </w:style>
  <w:style w:type="character" w:styleId="Bullet20Symbols">
    <w:name w:val="Bullet_20_Symbols"/>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Liberation Sans;Arial" w:hAnsi="Liberation Sans;Arial" w:eastAsia="Microsoft YaHei" w:cs="Mangal"/>
      <w:sz w:val="28"/>
      <w:szCs w:val="28"/>
    </w:rPr>
  </w:style>
  <w:style w:type="paragraph" w:styleId="En-tteetpieddepageuser">
    <w:name w:val="En-tête et pied de page (user)"/>
    <w:basedOn w:val="Normal"/>
    <w:qFormat/>
    <w:pPr>
      <w:suppressLineNumbers/>
      <w:tabs>
        <w:tab w:val="clear" w:pos="709"/>
        <w:tab w:val="center" w:pos="4819" w:leader="none"/>
        <w:tab w:val="right" w:pos="9638" w:leader="none"/>
      </w:tabs>
    </w:pPr>
    <w:rPr/>
  </w:style>
  <w:style w:type="paragraph" w:styleId="En-tteetpieddepage">
    <w:name w:val="En-tête et pied de page"/>
    <w:basedOn w:val="Normal"/>
    <w:qFormat/>
    <w:pPr/>
    <w:rPr/>
  </w:style>
  <w:style w:type="paragraph" w:styleId="Header">
    <w:name w:val="header"/>
    <w:basedOn w:val="En-tteetpieddepageuser"/>
    <w:pPr>
      <w:suppressLineNumbers/>
    </w:pPr>
    <w:rPr/>
  </w:style>
  <w:style w:type="paragraph" w:styleId="Footer">
    <w:name w:val="footer"/>
    <w:basedOn w:val="En-tteetpieddepageuser"/>
    <w:pPr>
      <w:suppressLineNumbers/>
    </w:pPr>
    <w:rPr/>
  </w:style>
  <w:style w:type="paragraph" w:styleId="Contenudetableauuser">
    <w:name w:val="Contenu de tableau (user)"/>
    <w:basedOn w:val="Normal"/>
    <w:qFormat/>
    <w:pPr>
      <w:widowControl w:val="false"/>
      <w:suppressLineNumbers/>
    </w:pPr>
    <w:rPr/>
  </w:style>
  <w:style w:type="paragraph" w:styleId="Title">
    <w:name w:val="Title"/>
    <w:basedOn w:val="Titreuser"/>
    <w:next w:val="BodyText"/>
    <w:qFormat/>
    <w:pPr>
      <w:jc w:val="center"/>
    </w:pPr>
    <w:rPr>
      <w:b/>
      <w:bCs/>
      <w:sz w:val="56"/>
      <w:szCs w:val="56"/>
    </w:rPr>
  </w:style>
  <w:style w:type="paragraph" w:styleId="Parareponse">
    <w:name w:val="Para_reponse"/>
    <w:basedOn w:val="Normal"/>
    <w:qFormat/>
    <w:pPr>
      <w:spacing w:before="120" w:after="120"/>
    </w:pPr>
    <w:rPr/>
  </w:style>
  <w:style w:type="paragraph" w:styleId="Titredetableauuser">
    <w:name w:val="Titre de tableau (user)"/>
    <w:basedOn w:val="Contenudetableauuser"/>
    <w:qFormat/>
    <w:pPr>
      <w:suppressLineNumbers/>
      <w:jc w:val="center"/>
    </w:pPr>
    <w:rPr>
      <w:b/>
      <w:bCs/>
    </w:rPr>
  </w:style>
  <w:style w:type="paragraph" w:styleId="Paragraphe">
    <w:name w:val="Paragraphe"/>
    <w:basedOn w:val="Normal"/>
    <w:qFormat/>
    <w:pPr>
      <w:bidi w:val="0"/>
      <w:spacing w:before="120" w:after="0"/>
      <w:jc w:val="both"/>
    </w:pPr>
    <w:rPr>
      <w:rFonts w:ascii="Arial" w:hAnsi="Arial" w:cs="Arial"/>
      <w:sz w:val="20"/>
    </w:rPr>
  </w:style>
  <w:style w:type="paragraph" w:styleId="Default">
    <w:name w:val="Default"/>
    <w:qFormat/>
    <w:pPr>
      <w:widowControl/>
      <w:suppressAutoHyphens w:val="true"/>
      <w:overflowPunct w:val="true"/>
      <w:bidi w:val="0"/>
      <w:spacing w:before="0" w:after="0"/>
      <w:jc w:val="left"/>
    </w:pPr>
    <w:rPr>
      <w:rFonts w:ascii="Arial" w:hAnsi="Arial" w:eastAsia="SimSun" w:cs="Mangal"/>
      <w:color w:val="000000"/>
      <w:kern w:val="2"/>
      <w:sz w:val="24"/>
      <w:szCs w:val="24"/>
      <w:lang w:val="fr-FR" w:eastAsia="zh-CN" w:bidi="hi-IN"/>
    </w:rPr>
  </w:style>
  <w:style w:type="paragraph" w:styleId="Paragraphedeliste">
    <w:name w:val="Paragraphe de liste"/>
    <w:basedOn w:val="Normal"/>
    <w:qFormat/>
    <w:pPr>
      <w:spacing w:before="0" w:after="200"/>
      <w:ind w:hanging="0" w:left="720" w:right="57"/>
      <w:contextualSpacing/>
    </w:pPr>
    <w:rPr/>
  </w:style>
  <w:style w:type="paragraph" w:styleId="Trame">
    <w:name w:val="Trame"/>
    <w:basedOn w:val="Normal"/>
    <w:qFormat/>
    <w:pPr>
      <w:shd w:val="clear" w:fill="CCCCCC"/>
      <w:jc w:val="center"/>
    </w:pPr>
    <w:rPr>
      <w:b/>
      <w:sz w:val="40"/>
    </w:rPr>
  </w:style>
  <w:style w:type="paragraph" w:styleId="Sansnom1">
    <w:name w:val="Sans nom1"/>
    <w:basedOn w:val="Heading3"/>
    <w:qFormat/>
    <w:pPr>
      <w:keepNext w:val="true"/>
      <w:numPr>
        <w:ilvl w:val="0"/>
        <w:numId w:val="0"/>
      </w:numPr>
      <w:spacing w:before="113" w:after="119"/>
      <w:ind w:hanging="0" w:left="57" w:right="57"/>
      <w:jc w:val="left"/>
    </w:pPr>
    <w:rPr>
      <w:rFonts w:ascii="Arial" w:hAnsi="Arial" w:cs="Arial"/>
      <w:b/>
      <w:bCs/>
      <w:szCs w:val="28"/>
    </w:rPr>
  </w:style>
  <w:style w:type="paragraph" w:styleId="ListParagraph">
    <w:name w:val="List Paragraph"/>
    <w:basedOn w:val="Normal"/>
    <w:qFormat/>
    <w:pPr>
      <w:spacing w:before="0" w:after="0"/>
      <w:ind w:hanging="0" w:left="720" w:right="57"/>
      <w:contextualSpacing/>
    </w:pPr>
    <w:rPr/>
  </w:style>
  <w:style w:type="paragraph" w:styleId="Paradouble">
    <w:name w:val="Para_double"/>
    <w:qFormat/>
    <w:pPr>
      <w:widowControl w:val="false"/>
      <w:suppressAutoHyphens w:val="true"/>
      <w:overflowPunct w:val="true"/>
      <w:bidi w:val="0"/>
      <w:spacing w:before="120" w:after="240"/>
      <w:jc w:val="both"/>
    </w:pPr>
    <w:rPr>
      <w:rFonts w:ascii="Liberation Serif;Times New Roman" w:hAnsi="Liberation Serif;Times New Roman" w:eastAsia="SimSun" w:cs="Mangal"/>
      <w:color w:val="auto"/>
      <w:kern w:val="2"/>
      <w:sz w:val="24"/>
      <w:szCs w:val="24"/>
      <w:lang w:val="fr-FR" w:eastAsia="zh-CN" w:bidi="hi-IN"/>
    </w:rPr>
  </w:style>
  <w:style w:type="paragraph" w:styleId="Corpsdetexte3">
    <w:name w:val="Corps de texte 3"/>
    <w:basedOn w:val="Normal"/>
    <w:qFormat/>
    <w:pPr>
      <w:tabs>
        <w:tab w:val="clear" w:pos="709"/>
        <w:tab w:val="left" w:pos="720" w:leader="none"/>
        <w:tab w:val="left" w:pos="9639" w:leader="dot"/>
      </w:tabs>
      <w:jc w:val="both"/>
    </w:pPr>
    <w:rPr>
      <w:rFonts w:ascii="Arial" w:hAnsi="Arial" w:eastAsia="Arial" w:cs="Arial"/>
    </w:rPr>
  </w:style>
  <w:style w:type="paragraph" w:styleId="Reponse">
    <w:name w:val="Reponse"/>
    <w:basedOn w:val="Normal"/>
    <w:qFormat/>
    <w:pPr>
      <w:ind w:hanging="0" w:left="567" w:right="567"/>
    </w:pPr>
    <w:rPr/>
  </w:style>
  <w:style w:type="paragraph" w:styleId="Cadrerelief">
    <w:name w:val="Cadre_relief"/>
    <w:basedOn w:val="Normal"/>
    <w:qFormat/>
    <w:pPr>
      <w:pBdr>
        <w:top w:val="double" w:sz="2" w:space="14" w:color="000000"/>
        <w:left w:val="double" w:sz="2" w:space="14" w:color="000000"/>
        <w:bottom w:val="double" w:sz="2" w:space="14" w:color="000000"/>
        <w:right w:val="double" w:sz="2" w:space="14" w:color="000000"/>
      </w:pBdr>
      <w:ind w:hanging="0" w:left="284" w:right="283"/>
    </w:pPr>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7.xml"/><Relationship Id="rId20" Type="http://schemas.openxmlformats.org/officeDocument/2006/relationships/footer" Target="footer8.xml"/><Relationship Id="rId21" Type="http://schemas.openxmlformats.org/officeDocument/2006/relationships/footer" Target="footer9.xml"/><Relationship Id="rId22" Type="http://schemas.openxmlformats.org/officeDocument/2006/relationships/header" Target="header10.xml"/><Relationship Id="rId23" Type="http://schemas.openxmlformats.org/officeDocument/2006/relationships/header" Target="header11.xml"/><Relationship Id="rId24" Type="http://schemas.openxmlformats.org/officeDocument/2006/relationships/header" Target="header12.xml"/><Relationship Id="rId25" Type="http://schemas.openxmlformats.org/officeDocument/2006/relationships/footer" Target="footer10.xml"/><Relationship Id="rId26" Type="http://schemas.openxmlformats.org/officeDocument/2006/relationships/footer" Target="footer11.xml"/><Relationship Id="rId27" Type="http://schemas.openxmlformats.org/officeDocument/2006/relationships/footer" Target="footer12.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6</Pages>
  <Words>427</Words>
  <Characters>2336</Characters>
  <CharactersWithSpaces>2724</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